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8AB" w:rsidRPr="00F36989" w:rsidRDefault="00C558AB" w:rsidP="00C558AB">
      <w:pPr>
        <w:pStyle w:val="Tabledesillustrations"/>
        <w:tabs>
          <w:tab w:val="right" w:pos="12950"/>
        </w:tabs>
        <w:jc w:val="center"/>
        <w:rPr>
          <w:sz w:val="32"/>
          <w:u w:val="single"/>
          <w:lang w:val="fr-CA"/>
        </w:rPr>
      </w:pPr>
      <w:bookmarkStart w:id="0" w:name="_GoBack"/>
      <w:bookmarkEnd w:id="0"/>
      <w:r w:rsidRPr="00F36989">
        <w:rPr>
          <w:sz w:val="32"/>
          <w:u w:val="single"/>
          <w:lang w:val="fr-CA"/>
        </w:rPr>
        <w:t>Lutte contre le cancer de la prostate au Canada - 2015</w:t>
      </w:r>
    </w:p>
    <w:p w:rsidR="00C558AB" w:rsidRPr="00F36989" w:rsidRDefault="00C558AB">
      <w:pPr>
        <w:pStyle w:val="Tabledesillustrations"/>
        <w:tabs>
          <w:tab w:val="right" w:pos="12950"/>
        </w:tabs>
        <w:rPr>
          <w:lang w:val="fr-CA"/>
        </w:rPr>
      </w:pPr>
    </w:p>
    <w:p w:rsidR="00C558AB" w:rsidRPr="00462312" w:rsidRDefault="00C558AB" w:rsidP="00C558AB">
      <w:pPr>
        <w:rPr>
          <w:u w:val="single"/>
          <w:lang w:val="fr-CA"/>
        </w:rPr>
      </w:pPr>
      <w:r w:rsidRPr="00462312">
        <w:rPr>
          <w:u w:val="single"/>
          <w:lang w:val="fr-CA"/>
        </w:rPr>
        <w:t>Appuyer sur Ctrl, puis cliquer </w:t>
      </w:r>
      <w:r w:rsidR="00F36989" w:rsidRPr="00462312">
        <w:rPr>
          <w:u w:val="single"/>
          <w:lang w:val="fr-CA"/>
        </w:rPr>
        <w:t xml:space="preserve">sur un titre ci-dessous </w:t>
      </w:r>
      <w:r w:rsidRPr="00462312">
        <w:rPr>
          <w:u w:val="single"/>
          <w:lang w:val="fr-CA"/>
        </w:rPr>
        <w:t>pour suivre le lien hypertexte.</w:t>
      </w:r>
    </w:p>
    <w:p w:rsidR="009378E4" w:rsidRPr="00462312" w:rsidRDefault="009378E4" w:rsidP="00462312">
      <w:pPr>
        <w:pStyle w:val="Tabledesillustrations"/>
        <w:numPr>
          <w:ilvl w:val="0"/>
          <w:numId w:val="1"/>
        </w:numPr>
        <w:tabs>
          <w:tab w:val="right" w:pos="12950"/>
        </w:tabs>
        <w:rPr>
          <w:rFonts w:eastAsiaTheme="minorEastAsia"/>
          <w:b w:val="0"/>
          <w:bCs w:val="0"/>
          <w:noProof/>
          <w:sz w:val="24"/>
          <w:szCs w:val="22"/>
          <w:lang w:val="fr-CA" w:eastAsia="en-CA"/>
        </w:rPr>
      </w:pPr>
      <w:r w:rsidRPr="00F36989">
        <w:rPr>
          <w:lang w:val="fr-CA"/>
        </w:rPr>
        <w:fldChar w:fldCharType="begin"/>
      </w:r>
      <w:r w:rsidRPr="00F36989">
        <w:rPr>
          <w:lang w:val="fr-CA"/>
        </w:rPr>
        <w:instrText xml:space="preserve"> TOC \h \z \t "Heading 1" \c </w:instrText>
      </w:r>
      <w:r w:rsidRPr="00F36989">
        <w:rPr>
          <w:lang w:val="fr-CA"/>
        </w:rPr>
        <w:fldChar w:fldCharType="separate"/>
      </w:r>
      <w:hyperlink w:anchor="_Toc437233647" w:history="1">
        <w:r w:rsidRPr="00462312">
          <w:rPr>
            <w:rStyle w:val="Lienhypertexte"/>
            <w:noProof/>
            <w:sz w:val="22"/>
            <w:lang w:val="fr-CA"/>
          </w:rPr>
          <w:t xml:space="preserve">Figure 1.1 </w:t>
        </w:r>
        <w:r w:rsidRPr="00462312">
          <w:rPr>
            <w:rStyle w:val="Lienhypertexte"/>
            <w:rFonts w:eastAsia="Times New Roman"/>
            <w:noProof/>
            <w:sz w:val="22"/>
            <w:lang w:val="fr-CA" w:eastAsia="en-CA"/>
          </w:rPr>
          <w:t xml:space="preserve">Taux d’incidence et de mortalité du cancer de la prostate (hommes âgés </w:t>
        </w:r>
        <w:r w:rsidR="00513C0F" w:rsidRPr="00462312">
          <w:rPr>
            <w:rStyle w:val="Lienhypertexte"/>
            <w:rFonts w:eastAsia="Times New Roman"/>
            <w:noProof/>
            <w:sz w:val="22"/>
            <w:lang w:val="fr-CA" w:eastAsia="en-CA"/>
          </w:rPr>
          <w:t xml:space="preserve">de </w:t>
        </w:r>
        <w:r w:rsidRPr="00462312">
          <w:rPr>
            <w:rStyle w:val="Lienhypertexte"/>
            <w:rFonts w:eastAsia="Times New Roman"/>
            <w:noProof/>
            <w:sz w:val="22"/>
            <w:lang w:val="fr-CA" w:eastAsia="en-CA"/>
          </w:rPr>
          <w:t>≥ 35 ans), Canada, normalisé selon l’âge en fonction de la population de 2011 – de 1992 à 2011</w:t>
        </w:r>
        <w:r w:rsidRPr="00462312">
          <w:rPr>
            <w:noProof/>
            <w:webHidden/>
            <w:sz w:val="22"/>
            <w:lang w:val="fr-CA"/>
          </w:rPr>
          <w:tab/>
        </w:r>
        <w:r w:rsidRPr="00462312">
          <w:rPr>
            <w:noProof/>
            <w:webHidden/>
            <w:sz w:val="22"/>
            <w:lang w:val="fr-CA"/>
          </w:rPr>
          <w:fldChar w:fldCharType="begin"/>
        </w:r>
        <w:r w:rsidRPr="00462312">
          <w:rPr>
            <w:noProof/>
            <w:webHidden/>
            <w:sz w:val="22"/>
            <w:lang w:val="fr-CA"/>
          </w:rPr>
          <w:instrText xml:space="preserve"> PAGEREF _Toc437233647 \h </w:instrText>
        </w:r>
        <w:r w:rsidRPr="00462312">
          <w:rPr>
            <w:noProof/>
            <w:webHidden/>
            <w:sz w:val="22"/>
            <w:lang w:val="fr-CA"/>
          </w:rPr>
        </w:r>
        <w:r w:rsidRPr="00462312">
          <w:rPr>
            <w:noProof/>
            <w:webHidden/>
            <w:sz w:val="22"/>
            <w:lang w:val="fr-CA"/>
          </w:rPr>
          <w:fldChar w:fldCharType="separate"/>
        </w:r>
        <w:r w:rsidRPr="00462312">
          <w:rPr>
            <w:noProof/>
            <w:webHidden/>
            <w:sz w:val="22"/>
            <w:lang w:val="fr-CA"/>
          </w:rPr>
          <w:t>3</w:t>
        </w:r>
        <w:r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48" w:history="1">
        <w:r w:rsidR="009378E4" w:rsidRPr="00462312">
          <w:rPr>
            <w:rStyle w:val="Lienhypertexte"/>
            <w:noProof/>
            <w:sz w:val="22"/>
            <w:lang w:val="fr-CA"/>
          </w:rPr>
          <w:t xml:space="preserve">Figure 1.2 </w:t>
        </w:r>
        <w:r w:rsidR="009378E4" w:rsidRPr="00462312">
          <w:rPr>
            <w:rStyle w:val="Lienhypertexte"/>
            <w:rFonts w:eastAsia="Times New Roman"/>
            <w:noProof/>
            <w:sz w:val="22"/>
            <w:lang w:val="fr-CA" w:eastAsia="en-CA"/>
          </w:rPr>
          <w:t xml:space="preserve">Taux d’incidence du cancer de la prostate (hommes âgés </w:t>
        </w:r>
        <w:r w:rsidR="00513C0F" w:rsidRPr="00462312">
          <w:rPr>
            <w:rStyle w:val="Lienhypertexte"/>
            <w:rFonts w:eastAsia="Times New Roman"/>
            <w:noProof/>
            <w:sz w:val="22"/>
            <w:lang w:val="fr-CA" w:eastAsia="en-CA"/>
          </w:rPr>
          <w:t xml:space="preserve">de </w:t>
        </w:r>
        <w:r w:rsidR="009378E4" w:rsidRPr="00462312">
          <w:rPr>
            <w:rStyle w:val="Lienhypertexte"/>
            <w:rFonts w:eastAsia="Times New Roman"/>
            <w:noProof/>
            <w:sz w:val="22"/>
            <w:lang w:val="fr-CA" w:eastAsia="en-CA"/>
          </w:rPr>
          <w:t>≥ 35 ans), par province, normalisés selon l’âge en fonction de la population de 2011 – années 2008 à 2010 combinées</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_Toc437233648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4</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49" w:history="1">
        <w:r w:rsidR="009378E4" w:rsidRPr="00462312">
          <w:rPr>
            <w:rStyle w:val="Lienhypertexte"/>
            <w:noProof/>
            <w:sz w:val="22"/>
            <w:lang w:val="fr-CA"/>
          </w:rPr>
          <w:t xml:space="preserve">Figure 1.3 </w:t>
        </w:r>
        <w:r w:rsidR="009378E4" w:rsidRPr="00462312">
          <w:rPr>
            <w:rStyle w:val="Lienhypertexte"/>
            <w:rFonts w:eastAsia="Times New Roman"/>
            <w:noProof/>
            <w:sz w:val="22"/>
            <w:lang w:val="fr-CA" w:eastAsia="en-CA"/>
          </w:rPr>
          <w:t xml:space="preserve">Taux de mortalité du cancer de la prostate (hommes âgés </w:t>
        </w:r>
        <w:r w:rsidR="00513C0F" w:rsidRPr="00462312">
          <w:rPr>
            <w:rStyle w:val="Lienhypertexte"/>
            <w:rFonts w:eastAsia="Times New Roman"/>
            <w:noProof/>
            <w:sz w:val="22"/>
            <w:lang w:val="fr-CA" w:eastAsia="en-CA"/>
          </w:rPr>
          <w:t xml:space="preserve">de </w:t>
        </w:r>
        <w:r w:rsidR="009378E4" w:rsidRPr="00462312">
          <w:rPr>
            <w:rStyle w:val="Lienhypertexte"/>
            <w:rFonts w:eastAsia="Times New Roman"/>
            <w:noProof/>
            <w:sz w:val="22"/>
            <w:lang w:val="fr-CA" w:eastAsia="en-CA"/>
          </w:rPr>
          <w:t>≥ 35 ans), par province, normalisés selon l’âge en fonction de la population de 2011 – années 2009 à 2011 combinées</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_Toc437233649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5</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0" w:history="1">
        <w:r w:rsidR="009378E4" w:rsidRPr="00462312">
          <w:rPr>
            <w:rStyle w:val="Lienhypertexte"/>
            <w:noProof/>
            <w:sz w:val="22"/>
            <w:lang w:val="fr-CA"/>
          </w:rPr>
          <w:t xml:space="preserve">Figure 1.4 </w:t>
        </w:r>
        <w:r w:rsidR="009378E4" w:rsidRPr="00462312">
          <w:rPr>
            <w:rStyle w:val="Lienhypertexte"/>
            <w:rFonts w:eastAsia="Times New Roman"/>
            <w:noProof/>
            <w:sz w:val="22"/>
            <w:lang w:val="fr-CA" w:eastAsia="en-CA"/>
          </w:rPr>
          <w:t>Taux d’incidence</w:t>
        </w:r>
        <w:r w:rsidR="009378E4" w:rsidRPr="00462312">
          <w:rPr>
            <w:rStyle w:val="Lienhypertexte"/>
            <w:rFonts w:eastAsia="Times New Roman"/>
            <w:noProof/>
            <w:sz w:val="22"/>
            <w:vertAlign w:val="superscript"/>
            <w:lang w:val="fr-CA" w:eastAsia="en-CA"/>
          </w:rPr>
          <w:t xml:space="preserve">† </w:t>
        </w:r>
        <w:r w:rsidR="009378E4" w:rsidRPr="00462312">
          <w:rPr>
            <w:rStyle w:val="Lienhypertexte"/>
            <w:rFonts w:eastAsia="Times New Roman"/>
            <w:noProof/>
            <w:sz w:val="22"/>
            <w:lang w:val="fr-CA" w:eastAsia="en-CA"/>
          </w:rPr>
          <w:t>et de mortalité</w:t>
        </w:r>
        <w:r w:rsidR="009378E4" w:rsidRPr="00462312">
          <w:rPr>
            <w:rStyle w:val="Lienhypertexte"/>
            <w:rFonts w:eastAsia="Times New Roman"/>
            <w:noProof/>
            <w:sz w:val="22"/>
            <w:vertAlign w:val="superscript"/>
            <w:lang w:val="fr-CA" w:eastAsia="en-CA"/>
          </w:rPr>
          <w:t xml:space="preserve">†† </w:t>
        </w:r>
        <w:r w:rsidR="009378E4" w:rsidRPr="00462312">
          <w:rPr>
            <w:rStyle w:val="Lienhypertexte"/>
            <w:rFonts w:eastAsia="Times New Roman"/>
            <w:noProof/>
            <w:sz w:val="22"/>
            <w:lang w:val="fr-CA" w:eastAsia="en-CA"/>
          </w:rPr>
          <w:t>du cancer de la prostate chez les hommes (âgés </w:t>
        </w:r>
        <w:r w:rsidR="00513C0F" w:rsidRPr="00462312">
          <w:rPr>
            <w:rStyle w:val="Lienhypertexte"/>
            <w:rFonts w:eastAsia="Times New Roman"/>
            <w:noProof/>
            <w:sz w:val="22"/>
            <w:lang w:val="fr-CA" w:eastAsia="en-CA"/>
          </w:rPr>
          <w:t xml:space="preserve">de </w:t>
        </w:r>
        <w:r w:rsidR="009378E4" w:rsidRPr="00462312">
          <w:rPr>
            <w:rStyle w:val="Lienhypertexte"/>
            <w:rFonts w:eastAsia="Times New Roman"/>
            <w:noProof/>
            <w:sz w:val="22"/>
            <w:lang w:val="fr-CA" w:eastAsia="en-CA"/>
          </w:rPr>
          <w:t>≥ 35 ans), par groupe d’âge, au Canada, normalisés selon l’âge en fonction de la population de 2011 – années 2008 à 2010 combinées et années 2009 à 2011 combinées</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_Toc437233650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6</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1" w:history="1">
        <w:r w:rsidR="009378E4" w:rsidRPr="00462312">
          <w:rPr>
            <w:rStyle w:val="Lienhypertexte"/>
            <w:noProof/>
            <w:sz w:val="22"/>
            <w:lang w:val="fr-CA"/>
          </w:rPr>
          <w:t xml:space="preserve">Figure 1.5 </w:t>
        </w:r>
        <w:r w:rsidR="009378E4" w:rsidRPr="00462312">
          <w:rPr>
            <w:rStyle w:val="Lienhypertexte"/>
            <w:rFonts w:eastAsia="Times New Roman"/>
            <w:noProof/>
            <w:sz w:val="22"/>
            <w:lang w:val="fr-CA" w:eastAsia="en-CA"/>
          </w:rPr>
          <w:t xml:space="preserve">Pourcentage d’hommes (âgés </w:t>
        </w:r>
        <w:r w:rsidR="00513C0F" w:rsidRPr="00462312">
          <w:rPr>
            <w:rStyle w:val="Lienhypertexte"/>
            <w:rFonts w:eastAsia="Times New Roman"/>
            <w:noProof/>
            <w:sz w:val="22"/>
            <w:lang w:val="fr-CA" w:eastAsia="en-CA"/>
          </w:rPr>
          <w:t xml:space="preserve">de </w:t>
        </w:r>
        <w:r w:rsidR="009378E4" w:rsidRPr="00462312">
          <w:rPr>
            <w:rStyle w:val="Lienhypertexte"/>
            <w:rFonts w:eastAsia="Times New Roman"/>
            <w:noProof/>
            <w:sz w:val="22"/>
            <w:lang w:val="fr-CA" w:eastAsia="en-CA"/>
          </w:rPr>
          <w:t>≥ 35) qui déclarent avoir subi au moins un test de l’APS† au cours de l’année écoulée, des deux dernières années ou de leur vie, par province/territoire – années de rapport 2010 à 2013 combinées</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_Toc437233651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7</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2" w:history="1">
        <w:r w:rsidR="009378E4" w:rsidRPr="00462312">
          <w:rPr>
            <w:rStyle w:val="Lienhypertexte"/>
            <w:noProof/>
            <w:sz w:val="22"/>
            <w:lang w:val="fr-CA"/>
          </w:rPr>
          <w:t xml:space="preserve">Figure 1.6 </w:t>
        </w:r>
        <w:r w:rsidR="009378E4" w:rsidRPr="00462312">
          <w:rPr>
            <w:rStyle w:val="Lienhypertexte"/>
            <w:rFonts w:eastAsia="Times New Roman"/>
            <w:noProof/>
            <w:sz w:val="22"/>
            <w:lang w:val="fr-CA" w:eastAsia="en-CA"/>
          </w:rPr>
          <w:t>Pourcentage d’hommes (âgés</w:t>
        </w:r>
        <w:r w:rsidR="00513C0F" w:rsidRPr="00462312">
          <w:rPr>
            <w:rStyle w:val="Lienhypertexte"/>
            <w:rFonts w:eastAsia="Times New Roman"/>
            <w:noProof/>
            <w:sz w:val="22"/>
            <w:lang w:val="fr-CA" w:eastAsia="en-CA"/>
          </w:rPr>
          <w:t xml:space="preserve"> de</w:t>
        </w:r>
        <w:r w:rsidR="009378E4" w:rsidRPr="00462312">
          <w:rPr>
            <w:rStyle w:val="Lienhypertexte"/>
            <w:rFonts w:eastAsia="Times New Roman"/>
            <w:noProof/>
            <w:sz w:val="22"/>
            <w:lang w:val="fr-CA" w:eastAsia="en-CA"/>
          </w:rPr>
          <w:t xml:space="preserve"> ≥ 35) qui déclarent avoir subi au moins un test de l’APS† au cours de l’année écoulée, des deux dernières années ou de leur vie, par groupe d’âge – années de rapport 2010 à 2013 combinées</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_Toc437233652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8</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3" w:history="1">
        <w:r w:rsidR="009378E4" w:rsidRPr="00462312">
          <w:rPr>
            <w:rStyle w:val="Lienhypertexte"/>
            <w:noProof/>
            <w:sz w:val="22"/>
            <w:lang w:val="fr-CA"/>
          </w:rPr>
          <w:t xml:space="preserve">Figure 2.1 </w:t>
        </w:r>
        <w:r w:rsidR="009378E4" w:rsidRPr="00462312">
          <w:rPr>
            <w:rStyle w:val="Lienhypertexte"/>
            <w:rFonts w:eastAsia="Times New Roman"/>
            <w:noProof/>
            <w:sz w:val="22"/>
            <w:lang w:val="fr-CA" w:eastAsia="en-CA"/>
          </w:rPr>
          <w:t xml:space="preserve">Taux d’incidence propre au stade du cancer de la prostate (hommes âgés </w:t>
        </w:r>
        <w:r w:rsidR="00513C0F" w:rsidRPr="00462312">
          <w:rPr>
            <w:rStyle w:val="Lienhypertexte"/>
            <w:rFonts w:eastAsia="Times New Roman"/>
            <w:noProof/>
            <w:sz w:val="22"/>
            <w:lang w:val="fr-CA" w:eastAsia="en-CA"/>
          </w:rPr>
          <w:t xml:space="preserve">de </w:t>
        </w:r>
        <w:r w:rsidR="009378E4" w:rsidRPr="00462312">
          <w:rPr>
            <w:rStyle w:val="Lienhypertexte"/>
            <w:rFonts w:eastAsia="Times New Roman"/>
            <w:noProof/>
            <w:sz w:val="22"/>
            <w:lang w:val="fr-CA" w:eastAsia="en-CA"/>
          </w:rPr>
          <w:t>≥ 35 ans), par province, normalisés selon l’âge en fonction de la population de 2011 – année de diagnostic 2010</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_Toc437233653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9</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4" w:history="1">
        <w:r w:rsidR="009378E4" w:rsidRPr="00462312">
          <w:rPr>
            <w:rStyle w:val="Lienhypertexte"/>
            <w:noProof/>
            <w:sz w:val="22"/>
            <w:lang w:val="fr-CA"/>
          </w:rPr>
          <w:t xml:space="preserve">Figure 2.2 </w:t>
        </w:r>
        <w:r w:rsidR="009378E4" w:rsidRPr="00462312">
          <w:rPr>
            <w:rStyle w:val="Lienhypertexte"/>
            <w:rFonts w:eastAsia="Times New Roman"/>
            <w:noProof/>
            <w:sz w:val="22"/>
            <w:lang w:val="fr-CA" w:eastAsia="en-CA"/>
          </w:rPr>
          <w:t>Taux d’incidence du cancer de la prostate non métastatique (hommes âgés de ≥ 35 ans)†, par province, par catégorie de risque, normalisés selon l’âge en fonction de la population de 2011 – année de diagnostic de 2012</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_Toc437233654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10</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5" w:history="1">
        <w:r w:rsidR="009378E4" w:rsidRPr="00462312">
          <w:rPr>
            <w:rStyle w:val="Lienhypertexte"/>
            <w:noProof/>
            <w:sz w:val="22"/>
            <w:lang w:val="fr-CA"/>
          </w:rPr>
          <w:t xml:space="preserve">Figure 2.3 </w:t>
        </w:r>
        <w:r w:rsidR="009378E4" w:rsidRPr="00462312">
          <w:rPr>
            <w:rStyle w:val="Lienhypertexte"/>
            <w:rFonts w:eastAsia="Times New Roman"/>
            <w:noProof/>
            <w:sz w:val="22"/>
            <w:lang w:val="fr-CA" w:eastAsia="en-CA"/>
          </w:rPr>
          <w:t>Répartition des cas de cancer de la prostate non métastatique (hommes âgés de ≥ 35 ans), par catégorie de risque, par groupe d’âge – année de diagnostic de 2012</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_Toc437233655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13</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6" w:history="1">
        <w:r w:rsidR="009378E4" w:rsidRPr="00462312">
          <w:rPr>
            <w:rStyle w:val="Lienhypertexte"/>
            <w:noProof/>
            <w:sz w:val="22"/>
            <w:lang w:val="fr-CA"/>
          </w:rPr>
          <w:t xml:space="preserve">Figure 3.1 </w:t>
        </w:r>
        <w:r w:rsidR="009378E4" w:rsidRPr="00462312">
          <w:rPr>
            <w:rStyle w:val="Lienhypertexte"/>
            <w:rFonts w:eastAsia="Times New Roman"/>
            <w:noProof/>
            <w:sz w:val="22"/>
            <w:lang w:val="fr-CA" w:eastAsia="en-CA"/>
          </w:rPr>
          <w:t>Temps d’attente médian et du 90e percentile entre la date de prise de rendez-vous et la date de l’intervention pour le cancer de la prostate, par province – 2014</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_Toc437233656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14</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7" w:history="1">
        <w:r w:rsidR="009378E4" w:rsidRPr="00462312">
          <w:rPr>
            <w:rStyle w:val="Lienhypertexte"/>
            <w:noProof/>
            <w:sz w:val="22"/>
            <w:lang w:val="fr-CA"/>
          </w:rPr>
          <w:t xml:space="preserve">Figure 3.2 </w:t>
        </w:r>
        <w:r w:rsidR="009378E4" w:rsidRPr="00462312">
          <w:rPr>
            <w:rStyle w:val="Lienhypertexte"/>
            <w:rFonts w:eastAsia="Times New Roman"/>
            <w:noProof/>
            <w:sz w:val="22"/>
            <w:lang w:val="fr-CA" w:eastAsia="en-CA"/>
          </w:rPr>
          <w:t>Temps d’attente du 90e percentile pour la radiothérapie entre la date où le patient est prêt à être traité et le début de la radiothérapie contre le cancer de la prostate, par province – année de traitement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_Toc437233657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15</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8" w:history="1">
        <w:r w:rsidR="009378E4" w:rsidRPr="00462312">
          <w:rPr>
            <w:rStyle w:val="Lienhypertexte"/>
            <w:rFonts w:eastAsia="Times New Roman"/>
            <w:noProof/>
            <w:sz w:val="22"/>
            <w:lang w:val="fr-CA" w:eastAsia="en-CA"/>
          </w:rPr>
          <w:t>Figure 3.3 Temps d’attente médian et du 90</w:t>
        </w:r>
        <w:r w:rsidR="009378E4" w:rsidRPr="00462312">
          <w:rPr>
            <w:rStyle w:val="Lienhypertexte"/>
            <w:rFonts w:eastAsia="Times New Roman"/>
            <w:noProof/>
            <w:sz w:val="22"/>
            <w:vertAlign w:val="superscript"/>
            <w:lang w:val="fr-CA" w:eastAsia="en-CA"/>
          </w:rPr>
          <w:t>e</w:t>
        </w:r>
        <w:r w:rsidR="009378E4" w:rsidRPr="00462312">
          <w:rPr>
            <w:rStyle w:val="Lienhypertexte"/>
            <w:rFonts w:eastAsia="Times New Roman"/>
            <w:noProof/>
            <w:sz w:val="22"/>
            <w:lang w:val="fr-CA" w:eastAsia="en-CA"/>
          </w:rPr>
          <w:t xml:space="preserve"> percentile entre la date à laquelle le patient est prêt à être traité et le début de la  radiothérapie contre le cancer de la prostate, par province, par catégorie de risque – année de traitement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_Toc437233658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16</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59" w:history="1">
        <w:r w:rsidR="009378E4" w:rsidRPr="00462312">
          <w:rPr>
            <w:rStyle w:val="Lienhypertexte"/>
            <w:noProof/>
            <w:sz w:val="22"/>
            <w:lang w:val="fr-CA"/>
          </w:rPr>
          <w:t xml:space="preserve">Figure 3.4 </w:t>
        </w:r>
        <w:r w:rsidR="009378E4" w:rsidRPr="00462312">
          <w:rPr>
            <w:rStyle w:val="Lienhypertexte"/>
            <w:rFonts w:eastAsia="Times New Roman"/>
            <w:noProof/>
            <w:sz w:val="22"/>
            <w:lang w:val="fr-CA" w:eastAsia="en-CA"/>
          </w:rPr>
          <w:t>Pourcentage de patients atteints de cancer de la prostate (hommes âgés de ≥ 35 ans) recevant divers types de traitement</w:t>
        </w:r>
        <w:r w:rsidR="009378E4" w:rsidRPr="00462312">
          <w:rPr>
            <w:rStyle w:val="Lienhypertexte"/>
            <w:rFonts w:eastAsia="Times New Roman"/>
            <w:noProof/>
            <w:sz w:val="22"/>
            <w:vertAlign w:val="superscript"/>
            <w:lang w:val="fr-CA" w:eastAsia="en-CA"/>
          </w:rPr>
          <w:t>†</w:t>
        </w:r>
        <w:r w:rsidR="009378E4" w:rsidRPr="00462312">
          <w:rPr>
            <w:rStyle w:val="Lienhypertexte"/>
            <w:rFonts w:eastAsia="Times New Roman"/>
            <w:noProof/>
            <w:sz w:val="22"/>
            <w:lang w:val="fr-CA" w:eastAsia="en-CA"/>
          </w:rPr>
          <w:t>, par catégorie de risque, par province – année de diagnostic 2010</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_Toc437233659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17</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0" w:history="1">
        <w:r w:rsidR="009378E4" w:rsidRPr="00462312">
          <w:rPr>
            <w:rStyle w:val="Lienhypertexte"/>
            <w:noProof/>
            <w:sz w:val="22"/>
            <w:lang w:val="fr-CA"/>
          </w:rPr>
          <w:t xml:space="preserve">Figure 3.5 </w:t>
        </w:r>
        <w:r w:rsidR="009378E4" w:rsidRPr="00462312">
          <w:rPr>
            <w:rStyle w:val="Lienhypertexte"/>
            <w:rFonts w:eastAsia="Times New Roman"/>
            <w:noProof/>
            <w:sz w:val="22"/>
            <w:lang w:val="fr-CA" w:eastAsia="en-CA"/>
          </w:rPr>
          <w:t>Pourcentage de patients atteints de cancer de la prostate recevant divers types de traitement†, chez les hommes âgés de moins de 75 ans, par catégorie de risque, par province – année de diagnostic 2010</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_Toc437233660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18</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1" w:history="1">
        <w:r w:rsidR="009378E4" w:rsidRPr="00462312">
          <w:rPr>
            <w:rStyle w:val="Lienhypertexte"/>
            <w:noProof/>
            <w:sz w:val="22"/>
            <w:lang w:val="fr-CA"/>
          </w:rPr>
          <w:t xml:space="preserve">Figure 3.6 </w:t>
        </w:r>
        <w:r w:rsidR="009378E4" w:rsidRPr="00462312">
          <w:rPr>
            <w:rStyle w:val="Lienhypertexte"/>
            <w:rFonts w:eastAsia="Times New Roman"/>
            <w:noProof/>
            <w:sz w:val="22"/>
            <w:lang w:val="fr-CA" w:eastAsia="en-CA"/>
          </w:rPr>
          <w:t>Pourcentage de patients atteints de cancer de la prostate recevant divers types de traitement†, chez les hommes âgés de plus de 75 ans, par catégorie de risque, par province – année de diagnostic 2010</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_Toc437233661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19</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2" w:history="1">
        <w:r w:rsidR="009378E4" w:rsidRPr="00462312">
          <w:rPr>
            <w:rStyle w:val="Lienhypertexte"/>
            <w:noProof/>
            <w:sz w:val="22"/>
            <w:lang w:val="fr-CA"/>
          </w:rPr>
          <w:t xml:space="preserve">Figure 3.7 </w:t>
        </w:r>
        <w:r w:rsidR="009378E4" w:rsidRPr="00462312">
          <w:rPr>
            <w:rStyle w:val="Lienhypertexte"/>
            <w:rFonts w:eastAsia="Times New Roman"/>
            <w:noProof/>
            <w:sz w:val="22"/>
            <w:lang w:val="fr-CA" w:eastAsia="en-CA"/>
          </w:rPr>
          <w:t>Pourcentage de patients atteints de cancer de la prostate (hommes âgés de ≥ 35 ans) recevant divers types de radiothérapie†, par catégorie de risque, par province – année de diagnostic 2010</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_Toc437233662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20</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3" w:history="1">
        <w:r w:rsidR="009378E4" w:rsidRPr="00462312">
          <w:rPr>
            <w:rStyle w:val="Lienhypertexte"/>
            <w:noProof/>
            <w:sz w:val="22"/>
            <w:lang w:val="fr-CA"/>
          </w:rPr>
          <w:t xml:space="preserve">Figure 3.8 </w:t>
        </w:r>
        <w:r w:rsidR="009378E4" w:rsidRPr="00462312">
          <w:rPr>
            <w:rStyle w:val="Lienhypertexte"/>
            <w:rFonts w:eastAsia="Times New Roman"/>
            <w:noProof/>
            <w:sz w:val="22"/>
            <w:lang w:val="fr-CA" w:eastAsia="en-CA"/>
          </w:rPr>
          <w:t>Pourcentage de patients atteints de cancer de la prostate recevant une prostatectomie radicale, par voie d’abord (%), par province – exercice 2013-2014</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_Toc437233663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21</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4" w:history="1">
        <w:r w:rsidR="009378E4" w:rsidRPr="00462312">
          <w:rPr>
            <w:rStyle w:val="Lienhypertexte"/>
            <w:noProof/>
            <w:sz w:val="22"/>
            <w:lang w:val="fr-CA"/>
          </w:rPr>
          <w:t>Figure 4.1 Pourcentage des patients atteints de cancer de la prostate qui déclarent une évaluation d’expérience négative dans tous les aspects des soins, par province – de 2011 à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_Toc437233664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22</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5" w:history="1">
        <w:r w:rsidR="009378E4" w:rsidRPr="00462312">
          <w:rPr>
            <w:rStyle w:val="Lienhypertexte"/>
            <w:noProof/>
            <w:sz w:val="22"/>
            <w:lang w:val="fr-CA"/>
          </w:rPr>
          <w:t xml:space="preserve">Figure 4.2 </w:t>
        </w:r>
        <w:r w:rsidR="009378E4" w:rsidRPr="00462312">
          <w:rPr>
            <w:rStyle w:val="Lienhypertexte"/>
            <w:rFonts w:eastAsia="Times New Roman"/>
            <w:noProof/>
            <w:sz w:val="22"/>
            <w:lang w:val="fr-CA" w:eastAsia="en-CA"/>
          </w:rPr>
          <w:t>Aspect du soutien émotionnel : Pourcentage des patients atteints de cancer de la prostate qui déclarent une évaluation d’expérience négative, par province – de 2011 à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_Toc437233665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23</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6" w:history="1">
        <w:r w:rsidR="009378E4" w:rsidRPr="00462312">
          <w:rPr>
            <w:rStyle w:val="Lienhypertexte"/>
            <w:noProof/>
            <w:sz w:val="22"/>
            <w:lang w:val="fr-CA"/>
          </w:rPr>
          <w:t xml:space="preserve">Figure 4.3 </w:t>
        </w:r>
        <w:r w:rsidR="009378E4" w:rsidRPr="00462312">
          <w:rPr>
            <w:rStyle w:val="Lienhypertexte"/>
            <w:rFonts w:eastAsia="Times New Roman"/>
            <w:noProof/>
            <w:sz w:val="22"/>
            <w:lang w:val="fr-CA" w:eastAsia="en-CA"/>
          </w:rPr>
          <w:t>Aspect de l’information, de la communication et de l’éducation : Pourcentage de patients atteints de cancer de la prostate qui déclarente une évaluation d’expérience négative, par province – de 2011 à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_Toc437233666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24</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7" w:history="1">
        <w:r w:rsidR="009378E4" w:rsidRPr="00462312">
          <w:rPr>
            <w:rStyle w:val="Lienhypertexte"/>
            <w:noProof/>
            <w:sz w:val="22"/>
            <w:lang w:val="fr-CA"/>
          </w:rPr>
          <w:t xml:space="preserve">Figure 4.4 </w:t>
        </w:r>
        <w:r w:rsidR="009378E4" w:rsidRPr="00462312">
          <w:rPr>
            <w:rStyle w:val="Lienhypertexte"/>
            <w:rFonts w:eastAsia="Times New Roman"/>
            <w:noProof/>
            <w:sz w:val="22"/>
            <w:lang w:val="fr-CA" w:eastAsia="en-CA"/>
          </w:rPr>
          <w:t>Pourcentage d’hommes atteints du cancer de la prostate recevant une radiothérapie dans l’année qui précède leur décès, par province – 2011</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_Toc437233667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25</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8" w:history="1">
        <w:r w:rsidR="009378E4" w:rsidRPr="00462312">
          <w:rPr>
            <w:rStyle w:val="Lienhypertexte"/>
            <w:noProof/>
            <w:sz w:val="22"/>
            <w:lang w:val="fr-CA"/>
          </w:rPr>
          <w:t xml:space="preserve">Figure 4.5 </w:t>
        </w:r>
        <w:r w:rsidR="009378E4" w:rsidRPr="00462312">
          <w:rPr>
            <w:rStyle w:val="Lienhypertexte"/>
            <w:rFonts w:eastAsia="Times New Roman"/>
            <w:noProof/>
            <w:sz w:val="22"/>
            <w:lang w:val="fr-CA" w:eastAsia="en-CA"/>
          </w:rPr>
          <w:t>Pourcentage de décès de patients atteints de cancer de la prostate survenus à l’hôpital, au domicile privé ou ailleurs, par province – 2011</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_Toc437233668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26</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69" w:history="1">
        <w:r w:rsidR="009378E4" w:rsidRPr="00462312">
          <w:rPr>
            <w:rStyle w:val="Lienhypertexte"/>
            <w:noProof/>
            <w:sz w:val="22"/>
            <w:lang w:val="fr-CA"/>
          </w:rPr>
          <w:t xml:space="preserve">Figure 4.6 </w:t>
        </w:r>
        <w:r w:rsidR="009378E4" w:rsidRPr="00462312">
          <w:rPr>
            <w:rStyle w:val="Lienhypertexte"/>
            <w:rFonts w:eastAsia="Times New Roman"/>
            <w:noProof/>
            <w:sz w:val="22"/>
            <w:lang w:val="fr-CA" w:eastAsia="en-CA"/>
          </w:rPr>
          <w:t>Pourcentage de décès dus au cancer de la prostate, au cancer du sein, au cancer du poumon et au cancer colorectal survenus à l’hôpital, au domicile privé ou ailleurs, Canada – 2011</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_Toc437233669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27</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70" w:history="1">
        <w:r w:rsidR="009378E4" w:rsidRPr="00462312">
          <w:rPr>
            <w:rStyle w:val="Lienhypertexte"/>
            <w:noProof/>
            <w:sz w:val="22"/>
            <w:lang w:val="fr-CA"/>
          </w:rPr>
          <w:t xml:space="preserve">Figure 5.1 </w:t>
        </w:r>
        <w:r w:rsidR="009378E4" w:rsidRPr="00462312">
          <w:rPr>
            <w:rStyle w:val="Lienhypertexte"/>
            <w:rFonts w:eastAsia="Times New Roman"/>
            <w:noProof/>
            <w:sz w:val="22"/>
            <w:lang w:val="fr-CA" w:eastAsia="en-CA"/>
          </w:rPr>
          <w:t>Répartition des investissements dans la recherche sur le cancer (2012), des nouveaux cas de cancer (2010) et des décès attribuables au cancer (2011) selon le siège de la maladie, Canada</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_Toc437233670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28</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71" w:history="1">
        <w:r w:rsidR="009378E4" w:rsidRPr="00462312">
          <w:rPr>
            <w:rStyle w:val="Lienhypertexte"/>
            <w:noProof/>
            <w:sz w:val="22"/>
            <w:lang w:val="fr-CA"/>
          </w:rPr>
          <w:t xml:space="preserve">Figure 5.2 </w:t>
        </w:r>
        <w:r w:rsidR="009378E4" w:rsidRPr="00462312">
          <w:rPr>
            <w:rStyle w:val="Lienhypertexte"/>
            <w:rFonts w:eastAsia="Times New Roman"/>
            <w:noProof/>
            <w:sz w:val="22"/>
            <w:lang w:val="fr-CA" w:eastAsia="en-CA"/>
          </w:rPr>
          <w:t>Répartition des investissements dans la recherche sur le cancer de la prostate par domaine de recherche pour les cinq principaux commanditaires, Canada – 2005 et 2012</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_Toc437233671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29</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72" w:history="1">
        <w:r w:rsidR="009378E4" w:rsidRPr="00462312">
          <w:rPr>
            <w:rStyle w:val="Lienhypertexte"/>
            <w:noProof/>
            <w:sz w:val="22"/>
            <w:lang w:val="fr-CA"/>
          </w:rPr>
          <w:t xml:space="preserve">Figure 5.3 </w:t>
        </w:r>
        <w:r w:rsidR="009378E4" w:rsidRPr="00462312">
          <w:rPr>
            <w:rStyle w:val="Lienhypertexte"/>
            <w:rFonts w:eastAsia="Times New Roman"/>
            <w:noProof/>
            <w:sz w:val="22"/>
            <w:lang w:val="fr-CA" w:eastAsia="en-CA"/>
          </w:rPr>
          <w:t>Investissement par habitant (population masculine) dans la recherche sur le cancer de la prostate, par province – 2005 et 2012</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_Toc437233672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30</w:t>
        </w:r>
        <w:r w:rsidR="009378E4" w:rsidRPr="00462312">
          <w:rPr>
            <w:noProof/>
            <w:webHidden/>
            <w:sz w:val="22"/>
            <w:lang w:val="fr-CA"/>
          </w:rPr>
          <w:fldChar w:fldCharType="end"/>
        </w:r>
      </w:hyperlink>
    </w:p>
    <w:p w:rsidR="009378E4" w:rsidRPr="00462312" w:rsidRDefault="0006694E" w:rsidP="00462312">
      <w:pPr>
        <w:pStyle w:val="Tabledesillustrations"/>
        <w:numPr>
          <w:ilvl w:val="0"/>
          <w:numId w:val="1"/>
        </w:numPr>
        <w:tabs>
          <w:tab w:val="right" w:pos="12950"/>
        </w:tabs>
        <w:rPr>
          <w:rFonts w:eastAsiaTheme="minorEastAsia"/>
          <w:b w:val="0"/>
          <w:bCs w:val="0"/>
          <w:noProof/>
          <w:sz w:val="24"/>
          <w:szCs w:val="22"/>
          <w:lang w:val="fr-CA" w:eastAsia="en-CA"/>
        </w:rPr>
      </w:pPr>
      <w:hyperlink w:anchor="_Toc437233673" w:history="1">
        <w:r w:rsidR="009378E4" w:rsidRPr="00462312">
          <w:rPr>
            <w:rStyle w:val="Lienhypertexte"/>
            <w:noProof/>
            <w:sz w:val="22"/>
            <w:lang w:val="fr-CA"/>
          </w:rPr>
          <w:t xml:space="preserve">Figure 5.4 </w:t>
        </w:r>
        <w:r w:rsidR="009378E4" w:rsidRPr="00462312">
          <w:rPr>
            <w:rStyle w:val="Lienhypertexte"/>
            <w:rFonts w:eastAsia="Times New Roman"/>
            <w:noProof/>
            <w:sz w:val="22"/>
            <w:lang w:val="fr-CA" w:eastAsia="en-CA"/>
          </w:rPr>
          <w:t>Ratio entre les patients adultes atteints de cancer de la prostate inscrits à des essais cliniques et le nombre de nouveaux cas de cancer de la prostate, par siège de la maladie, pour les quatre types de cancer les plus courants et pour tous les cancers† – année d’inscription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_Toc437233673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31</w:t>
        </w:r>
        <w:r w:rsidR="009378E4" w:rsidRPr="00462312">
          <w:rPr>
            <w:noProof/>
            <w:webHidden/>
            <w:sz w:val="22"/>
            <w:lang w:val="fr-CA"/>
          </w:rPr>
          <w:fldChar w:fldCharType="end"/>
        </w:r>
      </w:hyperlink>
    </w:p>
    <w:p w:rsidR="009378E4" w:rsidRPr="00F36989" w:rsidRDefault="0006694E" w:rsidP="00462312">
      <w:pPr>
        <w:pStyle w:val="Tabledesillustrations"/>
        <w:numPr>
          <w:ilvl w:val="0"/>
          <w:numId w:val="1"/>
        </w:numPr>
        <w:tabs>
          <w:tab w:val="right" w:pos="12950"/>
        </w:tabs>
        <w:rPr>
          <w:rFonts w:eastAsiaTheme="minorEastAsia"/>
          <w:b w:val="0"/>
          <w:bCs w:val="0"/>
          <w:noProof/>
          <w:sz w:val="22"/>
          <w:szCs w:val="22"/>
          <w:lang w:val="fr-CA" w:eastAsia="en-CA"/>
        </w:rPr>
      </w:pPr>
      <w:hyperlink w:anchor="_Toc437233674" w:history="1">
        <w:r w:rsidR="009378E4" w:rsidRPr="00462312">
          <w:rPr>
            <w:rStyle w:val="Lienhypertexte"/>
            <w:noProof/>
            <w:sz w:val="22"/>
            <w:lang w:val="fr-CA"/>
          </w:rPr>
          <w:t xml:space="preserve">Figure 5.5 </w:t>
        </w:r>
        <w:r w:rsidR="009378E4" w:rsidRPr="00462312">
          <w:rPr>
            <w:rStyle w:val="Lienhypertexte"/>
            <w:rFonts w:eastAsia="Times New Roman"/>
            <w:noProof/>
            <w:sz w:val="22"/>
            <w:lang w:val="fr-CA" w:eastAsia="en-CA"/>
          </w:rPr>
          <w:t>Ratio entre les patients adultes atteints de cancer de la prostate inscrits à des essais cliniques et le nombre de nouveaux cas, par province – année d’inscription 2013</w:t>
        </w:r>
        <w:r w:rsidR="009378E4" w:rsidRPr="00462312">
          <w:rPr>
            <w:noProof/>
            <w:webHidden/>
            <w:sz w:val="22"/>
            <w:lang w:val="fr-CA"/>
          </w:rPr>
          <w:tab/>
        </w:r>
        <w:r w:rsidR="009378E4" w:rsidRPr="00462312">
          <w:rPr>
            <w:noProof/>
            <w:webHidden/>
            <w:sz w:val="22"/>
            <w:lang w:val="fr-CA"/>
          </w:rPr>
          <w:fldChar w:fldCharType="begin"/>
        </w:r>
        <w:r w:rsidR="009378E4" w:rsidRPr="00462312">
          <w:rPr>
            <w:noProof/>
            <w:webHidden/>
            <w:sz w:val="22"/>
            <w:lang w:val="fr-CA"/>
          </w:rPr>
          <w:instrText xml:space="preserve"> PAGEREF _Toc437233674 \h </w:instrText>
        </w:r>
        <w:r w:rsidR="009378E4" w:rsidRPr="00462312">
          <w:rPr>
            <w:noProof/>
            <w:webHidden/>
            <w:sz w:val="22"/>
            <w:lang w:val="fr-CA"/>
          </w:rPr>
        </w:r>
        <w:r w:rsidR="009378E4" w:rsidRPr="00462312">
          <w:rPr>
            <w:noProof/>
            <w:webHidden/>
            <w:sz w:val="22"/>
            <w:lang w:val="fr-CA"/>
          </w:rPr>
          <w:fldChar w:fldCharType="separate"/>
        </w:r>
        <w:r w:rsidR="009378E4" w:rsidRPr="00462312">
          <w:rPr>
            <w:noProof/>
            <w:webHidden/>
            <w:sz w:val="22"/>
            <w:lang w:val="fr-CA"/>
          </w:rPr>
          <w:t>32</w:t>
        </w:r>
        <w:r w:rsidR="009378E4" w:rsidRPr="00462312">
          <w:rPr>
            <w:noProof/>
            <w:webHidden/>
            <w:sz w:val="22"/>
            <w:lang w:val="fr-CA"/>
          </w:rPr>
          <w:fldChar w:fldCharType="end"/>
        </w:r>
      </w:hyperlink>
    </w:p>
    <w:p w:rsidR="00B34AC0" w:rsidRPr="00F36989" w:rsidRDefault="009378E4" w:rsidP="00462312">
      <w:pPr>
        <w:pStyle w:val="Paragraphedeliste"/>
        <w:rPr>
          <w:lang w:val="fr-CA"/>
        </w:rPr>
      </w:pPr>
      <w:r w:rsidRPr="00F36989">
        <w:rPr>
          <w:lang w:val="fr-CA"/>
        </w:rPr>
        <w:fldChar w:fldCharType="end"/>
      </w:r>
      <w:r w:rsidR="00B34AC0" w:rsidRPr="00F36989">
        <w:rPr>
          <w:lang w:val="fr-CA"/>
        </w:rPr>
        <w:br w:type="page"/>
      </w:r>
    </w:p>
    <w:p w:rsidR="00B34AC0" w:rsidRPr="00F36989" w:rsidRDefault="00B34AC0" w:rsidP="00B34AC0">
      <w:pPr>
        <w:pStyle w:val="Titre1"/>
        <w:rPr>
          <w:rFonts w:eastAsia="Times New Roman"/>
          <w:lang w:val="fr-CA" w:eastAsia="en-CA"/>
        </w:rPr>
      </w:pPr>
      <w:bookmarkStart w:id="1" w:name="_Toc437233647"/>
      <w:r w:rsidRPr="00F36989">
        <w:rPr>
          <w:lang w:val="fr-CA"/>
        </w:rPr>
        <w:lastRenderedPageBreak/>
        <w:t xml:space="preserve">Figure 1.1 </w:t>
      </w:r>
      <w:r w:rsidRPr="00F36989">
        <w:rPr>
          <w:rFonts w:eastAsia="Times New Roman"/>
          <w:lang w:val="fr-CA" w:eastAsia="en-CA"/>
        </w:rPr>
        <w:t xml:space="preserve">Taux d’incidence et de mortalité du cancer de la prostate (hommes âgés </w:t>
      </w:r>
      <w:r w:rsidR="0010170B" w:rsidRPr="00F36989">
        <w:rPr>
          <w:rFonts w:eastAsia="Times New Roman"/>
          <w:lang w:val="fr-CA" w:eastAsia="en-CA"/>
        </w:rPr>
        <w:t xml:space="preserve">de </w:t>
      </w:r>
      <w:r w:rsidRPr="00F36989">
        <w:rPr>
          <w:rFonts w:eastAsia="Times New Roman"/>
          <w:lang w:val="fr-CA" w:eastAsia="en-CA"/>
        </w:rPr>
        <w:t>≥ 35 ans), Canada, normalisé</w:t>
      </w:r>
      <w:r w:rsidR="0010170B" w:rsidRPr="00F36989">
        <w:rPr>
          <w:rFonts w:eastAsia="Times New Roman"/>
          <w:lang w:val="fr-CA" w:eastAsia="en-CA"/>
        </w:rPr>
        <w:t>s</w:t>
      </w:r>
      <w:r w:rsidRPr="00F36989">
        <w:rPr>
          <w:rFonts w:eastAsia="Times New Roman"/>
          <w:lang w:val="fr-CA" w:eastAsia="en-CA"/>
        </w:rPr>
        <w:t xml:space="preserve"> selon l’âge en fonction de la population de 2011 – de 1992 à 2011</w:t>
      </w:r>
      <w:bookmarkEnd w:id="1"/>
    </w:p>
    <w:p w:rsidR="00B34AC0" w:rsidRPr="00F36989" w:rsidRDefault="00B34AC0" w:rsidP="00B34AC0">
      <w:pPr>
        <w:jc w:val="center"/>
        <w:rPr>
          <w:lang w:val="fr-CA"/>
        </w:rPr>
      </w:pPr>
      <w:r w:rsidRPr="00F36989">
        <w:rPr>
          <w:noProof/>
          <w:lang w:eastAsia="en-CA"/>
        </w:rPr>
        <w:drawing>
          <wp:inline distT="0" distB="0" distL="0" distR="0">
            <wp:extent cx="6601968" cy="425500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AC 025_Graphs_Logo_Fr_figure1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01968" cy="4255008"/>
                    </a:xfrm>
                    <a:prstGeom prst="rect">
                      <a:avLst/>
                    </a:prstGeom>
                  </pic:spPr>
                </pic:pic>
              </a:graphicData>
            </a:graphic>
          </wp:inline>
        </w:drawing>
      </w:r>
    </w:p>
    <w:p w:rsidR="00B34AC0" w:rsidRPr="00F36989" w:rsidRDefault="00B34AC0">
      <w:pPr>
        <w:rPr>
          <w:lang w:val="fr-CA"/>
        </w:rPr>
      </w:pPr>
      <w:r w:rsidRPr="00F36989">
        <w:rPr>
          <w:lang w:val="fr-CA"/>
        </w:rPr>
        <w:br w:type="page"/>
      </w:r>
    </w:p>
    <w:p w:rsidR="00B34AC0" w:rsidRPr="00F36989" w:rsidRDefault="00B34AC0" w:rsidP="00B34AC0">
      <w:pPr>
        <w:pStyle w:val="Titre1"/>
        <w:rPr>
          <w:rFonts w:eastAsia="Times New Roman"/>
          <w:lang w:val="fr-CA" w:eastAsia="en-CA"/>
        </w:rPr>
      </w:pPr>
      <w:bookmarkStart w:id="2" w:name="_Toc437233648"/>
      <w:r w:rsidRPr="00F36989">
        <w:rPr>
          <w:lang w:val="fr-CA"/>
        </w:rPr>
        <w:lastRenderedPageBreak/>
        <w:t xml:space="preserve">Figure 1.2 </w:t>
      </w:r>
      <w:r w:rsidRPr="00F36989">
        <w:rPr>
          <w:rFonts w:eastAsia="Times New Roman"/>
          <w:lang w:val="fr-CA" w:eastAsia="en-CA"/>
        </w:rPr>
        <w:t>Taux d’incidence du cancer de la prostate (hommes âgés</w:t>
      </w:r>
      <w:r w:rsidR="0010170B" w:rsidRPr="00F36989">
        <w:rPr>
          <w:rFonts w:eastAsia="Times New Roman"/>
          <w:lang w:val="fr-CA" w:eastAsia="en-CA"/>
        </w:rPr>
        <w:t xml:space="preserve"> de</w:t>
      </w:r>
      <w:r w:rsidRPr="00F36989">
        <w:rPr>
          <w:rFonts w:eastAsia="Times New Roman"/>
          <w:lang w:val="fr-CA" w:eastAsia="en-CA"/>
        </w:rPr>
        <w:t xml:space="preserve"> ≥ 35 ans), par province, normalisés selon l’âge en fonction de la population de 2011 – années 2008 à 2010 combinées</w:t>
      </w:r>
      <w:bookmarkEnd w:id="2"/>
    </w:p>
    <w:p w:rsidR="00B34AC0" w:rsidRPr="00F36989" w:rsidRDefault="00B34AC0" w:rsidP="00B34AC0">
      <w:pPr>
        <w:jc w:val="center"/>
        <w:rPr>
          <w:lang w:val="fr-CA"/>
        </w:rPr>
      </w:pPr>
      <w:r w:rsidRPr="00F36989">
        <w:rPr>
          <w:noProof/>
          <w:lang w:eastAsia="en-CA"/>
        </w:rPr>
        <w:drawing>
          <wp:inline distT="0" distB="0" distL="0" distR="0">
            <wp:extent cx="6601968" cy="4209288"/>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C 025_Graphs_Logo_Fr_figure1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1968" cy="4209288"/>
                    </a:xfrm>
                    <a:prstGeom prst="rect">
                      <a:avLst/>
                    </a:prstGeom>
                  </pic:spPr>
                </pic:pic>
              </a:graphicData>
            </a:graphic>
          </wp:inline>
        </w:drawing>
      </w:r>
    </w:p>
    <w:p w:rsidR="00B34AC0" w:rsidRPr="00F36989" w:rsidRDefault="00B34AC0">
      <w:pPr>
        <w:rPr>
          <w:lang w:val="fr-CA"/>
        </w:rPr>
      </w:pPr>
      <w:r w:rsidRPr="00F36989">
        <w:rPr>
          <w:lang w:val="fr-CA"/>
        </w:rPr>
        <w:br w:type="page"/>
      </w:r>
    </w:p>
    <w:p w:rsidR="00B34AC0" w:rsidRPr="00F36989" w:rsidRDefault="00B34AC0" w:rsidP="00B34AC0">
      <w:pPr>
        <w:pStyle w:val="Titre1"/>
        <w:rPr>
          <w:rFonts w:eastAsia="Times New Roman"/>
          <w:lang w:val="fr-CA" w:eastAsia="en-CA"/>
        </w:rPr>
      </w:pPr>
      <w:bookmarkStart w:id="3" w:name="_Toc437233649"/>
      <w:r w:rsidRPr="00F36989">
        <w:rPr>
          <w:lang w:val="fr-CA"/>
        </w:rPr>
        <w:lastRenderedPageBreak/>
        <w:t xml:space="preserve">Figure 1.3 </w:t>
      </w:r>
      <w:r w:rsidRPr="00F36989">
        <w:rPr>
          <w:rFonts w:eastAsia="Times New Roman"/>
          <w:lang w:val="fr-CA" w:eastAsia="en-CA"/>
        </w:rPr>
        <w:t xml:space="preserve">Taux de mortalité du cancer de la prostate (hommes âgés </w:t>
      </w:r>
      <w:r w:rsidR="0010170B" w:rsidRPr="00F36989">
        <w:rPr>
          <w:rFonts w:eastAsia="Times New Roman"/>
          <w:lang w:val="fr-CA" w:eastAsia="en-CA"/>
        </w:rPr>
        <w:t xml:space="preserve">de </w:t>
      </w:r>
      <w:r w:rsidRPr="00F36989">
        <w:rPr>
          <w:rFonts w:eastAsia="Times New Roman"/>
          <w:lang w:val="fr-CA" w:eastAsia="en-CA"/>
        </w:rPr>
        <w:t>≥ 35 ans), par province, normalisés selon l’âge en fonction de la population de 2011 – années 2009 à 2011 combinées</w:t>
      </w:r>
      <w:bookmarkEnd w:id="3"/>
    </w:p>
    <w:p w:rsidR="00B34AC0" w:rsidRPr="00F36989" w:rsidRDefault="00B34AC0" w:rsidP="00B34AC0">
      <w:pPr>
        <w:jc w:val="center"/>
        <w:rPr>
          <w:lang w:val="fr-CA"/>
        </w:rPr>
      </w:pPr>
      <w:r w:rsidRPr="00F36989">
        <w:rPr>
          <w:noProof/>
          <w:lang w:eastAsia="en-CA"/>
        </w:rPr>
        <w:drawing>
          <wp:inline distT="0" distB="0" distL="0" distR="0">
            <wp:extent cx="6766560" cy="4276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AC 025_Graphs_Logo_Fr_figure1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6560" cy="4276344"/>
                    </a:xfrm>
                    <a:prstGeom prst="rect">
                      <a:avLst/>
                    </a:prstGeom>
                  </pic:spPr>
                </pic:pic>
              </a:graphicData>
            </a:graphic>
          </wp:inline>
        </w:drawing>
      </w:r>
    </w:p>
    <w:p w:rsidR="00B34AC0" w:rsidRPr="00F36989" w:rsidRDefault="00B34AC0">
      <w:pPr>
        <w:rPr>
          <w:lang w:val="fr-CA"/>
        </w:rPr>
      </w:pPr>
      <w:r w:rsidRPr="00F36989">
        <w:rPr>
          <w:lang w:val="fr-CA"/>
        </w:rPr>
        <w:br w:type="page"/>
      </w:r>
    </w:p>
    <w:p w:rsidR="00B34AC0" w:rsidRPr="00F36989" w:rsidRDefault="00B34AC0" w:rsidP="00B34AC0">
      <w:pPr>
        <w:pStyle w:val="Titre1"/>
        <w:rPr>
          <w:rFonts w:eastAsia="Times New Roman"/>
          <w:lang w:val="fr-CA" w:eastAsia="en-CA"/>
        </w:rPr>
      </w:pPr>
      <w:bookmarkStart w:id="4" w:name="_Toc437233650"/>
      <w:r w:rsidRPr="00F36989">
        <w:rPr>
          <w:lang w:val="fr-CA"/>
        </w:rPr>
        <w:lastRenderedPageBreak/>
        <w:t xml:space="preserve">Figure 1.4 </w:t>
      </w:r>
      <w:r w:rsidRPr="00F36989">
        <w:rPr>
          <w:rFonts w:eastAsia="Times New Roman"/>
          <w:lang w:val="fr-CA" w:eastAsia="en-CA"/>
        </w:rPr>
        <w:t>Taux d’incidence</w:t>
      </w:r>
      <w:r w:rsidRPr="00F36989">
        <w:rPr>
          <w:rFonts w:eastAsia="Times New Roman"/>
          <w:vertAlign w:val="superscript"/>
          <w:lang w:val="fr-CA" w:eastAsia="en-CA"/>
        </w:rPr>
        <w:t xml:space="preserve">† </w:t>
      </w:r>
      <w:r w:rsidRPr="00F36989">
        <w:rPr>
          <w:rFonts w:eastAsia="Times New Roman"/>
          <w:lang w:val="fr-CA" w:eastAsia="en-CA"/>
        </w:rPr>
        <w:t>et de mortalité</w:t>
      </w:r>
      <w:r w:rsidRPr="00F36989">
        <w:rPr>
          <w:rFonts w:eastAsia="Times New Roman"/>
          <w:vertAlign w:val="superscript"/>
          <w:lang w:val="fr-CA" w:eastAsia="en-CA"/>
        </w:rPr>
        <w:t xml:space="preserve">†† </w:t>
      </w:r>
      <w:r w:rsidRPr="00F36989">
        <w:rPr>
          <w:rFonts w:eastAsia="Times New Roman"/>
          <w:lang w:val="fr-CA" w:eastAsia="en-CA"/>
        </w:rPr>
        <w:t xml:space="preserve">du cancer de la prostate </w:t>
      </w:r>
      <w:r w:rsidR="0010170B" w:rsidRPr="00F36989">
        <w:rPr>
          <w:rFonts w:eastAsia="Times New Roman"/>
          <w:lang w:val="fr-CA" w:eastAsia="en-CA"/>
        </w:rPr>
        <w:t xml:space="preserve">(hommes </w:t>
      </w:r>
      <w:r w:rsidRPr="00F36989">
        <w:rPr>
          <w:rFonts w:eastAsia="Times New Roman"/>
          <w:lang w:val="fr-CA" w:eastAsia="en-CA"/>
        </w:rPr>
        <w:t>âgés</w:t>
      </w:r>
      <w:r w:rsidR="0010170B" w:rsidRPr="00F36989">
        <w:rPr>
          <w:rFonts w:eastAsia="Times New Roman"/>
          <w:lang w:val="fr-CA" w:eastAsia="en-CA"/>
        </w:rPr>
        <w:t xml:space="preserve"> de</w:t>
      </w:r>
      <w:r w:rsidRPr="00F36989">
        <w:rPr>
          <w:rFonts w:eastAsia="Times New Roman"/>
          <w:lang w:val="fr-CA" w:eastAsia="en-CA"/>
        </w:rPr>
        <w:t> ≥ 35 ans), par groupe d’âge, au Canada, normalisés selon l’âge en fonction de la population de 2011 – années 2008 à 2010 combinées et années 2009 à 2011 combinées</w:t>
      </w:r>
      <w:bookmarkEnd w:id="4"/>
    </w:p>
    <w:p w:rsidR="00B34AC0" w:rsidRPr="00F36989" w:rsidRDefault="00B34AC0" w:rsidP="00B34AC0">
      <w:pPr>
        <w:jc w:val="center"/>
        <w:rPr>
          <w:lang w:val="fr-CA"/>
        </w:rPr>
      </w:pPr>
      <w:r w:rsidRPr="00F36989">
        <w:rPr>
          <w:noProof/>
          <w:lang w:eastAsia="en-CA"/>
        </w:rPr>
        <w:drawing>
          <wp:inline distT="0" distB="0" distL="0" distR="0">
            <wp:extent cx="6766560" cy="43769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AC 025_Graphs_Logo_Fr_figure1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66560" cy="4376928"/>
                    </a:xfrm>
                    <a:prstGeom prst="rect">
                      <a:avLst/>
                    </a:prstGeom>
                  </pic:spPr>
                </pic:pic>
              </a:graphicData>
            </a:graphic>
          </wp:inline>
        </w:drawing>
      </w:r>
    </w:p>
    <w:p w:rsidR="00B34AC0" w:rsidRPr="00F36989" w:rsidRDefault="00B34AC0">
      <w:pPr>
        <w:rPr>
          <w:lang w:val="fr-CA"/>
        </w:rPr>
      </w:pPr>
      <w:r w:rsidRPr="00F36989">
        <w:rPr>
          <w:lang w:val="fr-CA"/>
        </w:rPr>
        <w:br w:type="page"/>
      </w:r>
    </w:p>
    <w:p w:rsidR="00B34AC0" w:rsidRPr="00F36989" w:rsidRDefault="00B34AC0" w:rsidP="00B34AC0">
      <w:pPr>
        <w:pStyle w:val="Titre1"/>
        <w:rPr>
          <w:rFonts w:eastAsia="Times New Roman"/>
          <w:lang w:val="fr-CA" w:eastAsia="en-CA"/>
        </w:rPr>
      </w:pPr>
      <w:bookmarkStart w:id="5" w:name="_Toc437233651"/>
      <w:r w:rsidRPr="00F36989">
        <w:rPr>
          <w:lang w:val="fr-CA"/>
        </w:rPr>
        <w:lastRenderedPageBreak/>
        <w:t xml:space="preserve">Figure 1.5 </w:t>
      </w:r>
      <w:r w:rsidRPr="00F36989">
        <w:rPr>
          <w:rFonts w:eastAsia="Times New Roman"/>
          <w:lang w:val="fr-CA" w:eastAsia="en-CA"/>
        </w:rPr>
        <w:t xml:space="preserve">Pourcentage d’hommes (âgés </w:t>
      </w:r>
      <w:r w:rsidR="00784EB8" w:rsidRPr="00F36989">
        <w:rPr>
          <w:rFonts w:eastAsia="Times New Roman"/>
          <w:lang w:val="fr-CA" w:eastAsia="en-CA"/>
        </w:rPr>
        <w:t xml:space="preserve">de </w:t>
      </w:r>
      <w:r w:rsidRPr="00F36989">
        <w:rPr>
          <w:rFonts w:eastAsia="Times New Roman"/>
          <w:lang w:val="fr-CA" w:eastAsia="en-CA"/>
        </w:rPr>
        <w:t>≥ 35</w:t>
      </w:r>
      <w:r w:rsidR="00784EB8" w:rsidRPr="00F36989">
        <w:rPr>
          <w:rFonts w:eastAsia="Times New Roman"/>
          <w:lang w:val="fr-CA" w:eastAsia="en-CA"/>
        </w:rPr>
        <w:t xml:space="preserve"> ans</w:t>
      </w:r>
      <w:r w:rsidRPr="00F36989">
        <w:rPr>
          <w:rFonts w:eastAsia="Times New Roman"/>
          <w:lang w:val="fr-CA" w:eastAsia="en-CA"/>
        </w:rPr>
        <w:t>) qui déclarent avoir subi au moins un test de l’APS† au cours de l’année écoulée, des deux dernières années ou de leur vie, par province/territoire – années de rapport 2010 à 2013 combinées</w:t>
      </w:r>
      <w:bookmarkEnd w:id="5"/>
    </w:p>
    <w:p w:rsidR="00B34AC0" w:rsidRPr="00F36989" w:rsidRDefault="00B34AC0" w:rsidP="00B34AC0">
      <w:pPr>
        <w:jc w:val="center"/>
        <w:rPr>
          <w:lang w:val="fr-CA"/>
        </w:rPr>
      </w:pPr>
      <w:r w:rsidRPr="00F36989">
        <w:rPr>
          <w:noProof/>
          <w:lang w:eastAsia="en-CA"/>
        </w:rPr>
        <w:drawing>
          <wp:inline distT="0" distB="0" distL="0" distR="0">
            <wp:extent cx="5629656" cy="5029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AC 025_Graphs_Logo_Fr_figure1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9656" cy="5029200"/>
                    </a:xfrm>
                    <a:prstGeom prst="rect">
                      <a:avLst/>
                    </a:prstGeom>
                  </pic:spPr>
                </pic:pic>
              </a:graphicData>
            </a:graphic>
          </wp:inline>
        </w:drawing>
      </w:r>
      <w:r w:rsidRPr="00F36989">
        <w:rPr>
          <w:lang w:val="fr-CA"/>
        </w:rPr>
        <w:br w:type="page"/>
      </w:r>
    </w:p>
    <w:p w:rsidR="00B34AC0" w:rsidRPr="00F36989" w:rsidRDefault="00B34AC0" w:rsidP="00B34AC0">
      <w:pPr>
        <w:pStyle w:val="Titre1"/>
        <w:rPr>
          <w:rFonts w:eastAsia="Times New Roman"/>
          <w:lang w:val="fr-CA" w:eastAsia="en-CA"/>
        </w:rPr>
      </w:pPr>
      <w:bookmarkStart w:id="6" w:name="_Toc437233652"/>
      <w:r w:rsidRPr="00F36989">
        <w:rPr>
          <w:lang w:val="fr-CA"/>
        </w:rPr>
        <w:lastRenderedPageBreak/>
        <w:t xml:space="preserve">Figure 1.6 </w:t>
      </w:r>
      <w:r w:rsidRPr="00F36989">
        <w:rPr>
          <w:rFonts w:eastAsia="Times New Roman"/>
          <w:lang w:val="fr-CA" w:eastAsia="en-CA"/>
        </w:rPr>
        <w:t xml:space="preserve">Pourcentage d’hommes (âgés </w:t>
      </w:r>
      <w:r w:rsidR="00784EB8" w:rsidRPr="00F36989">
        <w:rPr>
          <w:rFonts w:eastAsia="Times New Roman"/>
          <w:lang w:val="fr-CA" w:eastAsia="en-CA"/>
        </w:rPr>
        <w:t xml:space="preserve">de </w:t>
      </w:r>
      <w:r w:rsidRPr="00F36989">
        <w:rPr>
          <w:rFonts w:eastAsia="Times New Roman"/>
          <w:lang w:val="fr-CA" w:eastAsia="en-CA"/>
        </w:rPr>
        <w:t>≥ 35</w:t>
      </w:r>
      <w:r w:rsidR="00784EB8" w:rsidRPr="00F36989">
        <w:rPr>
          <w:rFonts w:eastAsia="Times New Roman"/>
          <w:lang w:val="fr-CA" w:eastAsia="en-CA"/>
        </w:rPr>
        <w:t xml:space="preserve"> ans</w:t>
      </w:r>
      <w:r w:rsidRPr="00F36989">
        <w:rPr>
          <w:rFonts w:eastAsia="Times New Roman"/>
          <w:lang w:val="fr-CA" w:eastAsia="en-CA"/>
        </w:rPr>
        <w:t>) qui déclarent avoir subi au moins un test de l’APS† au cours de l’année écoulée, des deux dernières années ou de leur vie, par groupe d’âge – années de rapport 2010 à 2013 combinées</w:t>
      </w:r>
      <w:bookmarkEnd w:id="6"/>
    </w:p>
    <w:p w:rsidR="00B34AC0" w:rsidRPr="00F36989" w:rsidRDefault="00B34AC0" w:rsidP="00B34AC0">
      <w:pPr>
        <w:jc w:val="center"/>
        <w:rPr>
          <w:lang w:val="fr-CA"/>
        </w:rPr>
      </w:pPr>
      <w:r w:rsidRPr="00F36989">
        <w:rPr>
          <w:noProof/>
          <w:lang w:eastAsia="en-CA"/>
        </w:rPr>
        <w:drawing>
          <wp:inline distT="0" distB="0" distL="0" distR="0">
            <wp:extent cx="6766560" cy="42885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AC 025_Graphs_Logo_Fr_figure1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6560" cy="4288536"/>
                    </a:xfrm>
                    <a:prstGeom prst="rect">
                      <a:avLst/>
                    </a:prstGeom>
                  </pic:spPr>
                </pic:pic>
              </a:graphicData>
            </a:graphic>
          </wp:inline>
        </w:drawing>
      </w:r>
    </w:p>
    <w:p w:rsidR="00B34AC0" w:rsidRPr="00F36989" w:rsidRDefault="00B34AC0">
      <w:pPr>
        <w:rPr>
          <w:lang w:val="fr-CA"/>
        </w:rPr>
      </w:pPr>
      <w:r w:rsidRPr="00F36989">
        <w:rPr>
          <w:lang w:val="fr-CA"/>
        </w:rPr>
        <w:br w:type="page"/>
      </w:r>
    </w:p>
    <w:p w:rsidR="00B34AC0" w:rsidRPr="00F36989" w:rsidRDefault="00B34AC0" w:rsidP="00B34AC0">
      <w:pPr>
        <w:pStyle w:val="Titre1"/>
        <w:rPr>
          <w:rFonts w:eastAsia="Times New Roman"/>
          <w:lang w:val="fr-CA" w:eastAsia="en-CA"/>
        </w:rPr>
      </w:pPr>
      <w:bookmarkStart w:id="7" w:name="_Toc437233653"/>
      <w:r w:rsidRPr="00F36989">
        <w:rPr>
          <w:lang w:val="fr-CA"/>
        </w:rPr>
        <w:lastRenderedPageBreak/>
        <w:t xml:space="preserve">Figure 2.1 </w:t>
      </w:r>
      <w:r w:rsidRPr="00F36989">
        <w:rPr>
          <w:rFonts w:eastAsia="Times New Roman"/>
          <w:lang w:val="fr-CA" w:eastAsia="en-CA"/>
        </w:rPr>
        <w:t xml:space="preserve">Taux d’incidence propre au stade du cancer de la prostate (hommes âgés </w:t>
      </w:r>
      <w:r w:rsidR="00784EB8" w:rsidRPr="00F36989">
        <w:rPr>
          <w:rFonts w:eastAsia="Times New Roman"/>
          <w:lang w:val="fr-CA" w:eastAsia="en-CA"/>
        </w:rPr>
        <w:t xml:space="preserve">de </w:t>
      </w:r>
      <w:r w:rsidRPr="00F36989">
        <w:rPr>
          <w:rFonts w:eastAsia="Times New Roman"/>
          <w:lang w:val="fr-CA" w:eastAsia="en-CA"/>
        </w:rPr>
        <w:t>≥ 35 ans), par province, normalisés selon l’âge en fonction de la population de 2011 – année de diagnostic 2010</w:t>
      </w:r>
      <w:bookmarkEnd w:id="7"/>
    </w:p>
    <w:p w:rsidR="00B34AC0" w:rsidRPr="00F36989" w:rsidRDefault="00B34AC0" w:rsidP="00B34AC0">
      <w:pPr>
        <w:jc w:val="center"/>
        <w:rPr>
          <w:lang w:val="fr-CA"/>
        </w:rPr>
      </w:pPr>
      <w:r w:rsidRPr="00F36989">
        <w:rPr>
          <w:noProof/>
          <w:lang w:eastAsia="en-CA"/>
        </w:rPr>
        <w:drawing>
          <wp:inline distT="0" distB="0" distL="0" distR="0">
            <wp:extent cx="6766560" cy="4154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AC 025_Graphs_Logo_Fr_figure2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6560" cy="4154424"/>
                    </a:xfrm>
                    <a:prstGeom prst="rect">
                      <a:avLst/>
                    </a:prstGeom>
                  </pic:spPr>
                </pic:pic>
              </a:graphicData>
            </a:graphic>
          </wp:inline>
        </w:drawing>
      </w:r>
    </w:p>
    <w:p w:rsidR="00A7332B" w:rsidRPr="00F36989" w:rsidRDefault="00B34AC0">
      <w:pPr>
        <w:rPr>
          <w:lang w:val="fr-CA"/>
        </w:rPr>
        <w:sectPr w:rsidR="00A7332B" w:rsidRPr="00F36989" w:rsidSect="00B34AC0">
          <w:pgSz w:w="15840" w:h="12240" w:orient="landscape"/>
          <w:pgMar w:top="1440" w:right="1440" w:bottom="1440" w:left="1440" w:header="708" w:footer="708" w:gutter="0"/>
          <w:cols w:space="708"/>
          <w:docGrid w:linePitch="360"/>
        </w:sectPr>
      </w:pPr>
      <w:r w:rsidRPr="00F36989">
        <w:rPr>
          <w:lang w:val="fr-CA"/>
        </w:rPr>
        <w:br w:type="page"/>
      </w:r>
    </w:p>
    <w:p w:rsidR="007878CB" w:rsidRPr="00F36989" w:rsidRDefault="007878CB" w:rsidP="007878CB">
      <w:pPr>
        <w:pStyle w:val="Titre1"/>
        <w:rPr>
          <w:rFonts w:eastAsia="Times New Roman"/>
          <w:lang w:val="fr-CA" w:eastAsia="en-CA"/>
        </w:rPr>
      </w:pPr>
      <w:bookmarkStart w:id="8" w:name="_Toc437233654"/>
      <w:r w:rsidRPr="00F36989">
        <w:rPr>
          <w:lang w:val="fr-CA"/>
        </w:rPr>
        <w:lastRenderedPageBreak/>
        <w:t xml:space="preserve">Figure 2.2 </w:t>
      </w:r>
      <w:r w:rsidRPr="00F36989">
        <w:rPr>
          <w:rFonts w:eastAsia="Times New Roman"/>
          <w:lang w:val="fr-CA" w:eastAsia="en-CA"/>
        </w:rPr>
        <w:t>Taux d’incidence du cancer de la prostate non métastatique (hommes âgés de ≥ 35 </w:t>
      </w:r>
      <w:proofErr w:type="gramStart"/>
      <w:r w:rsidRPr="00F36989">
        <w:rPr>
          <w:rFonts w:eastAsia="Times New Roman"/>
          <w:lang w:val="fr-CA" w:eastAsia="en-CA"/>
        </w:rPr>
        <w:t>ans)†</w:t>
      </w:r>
      <w:proofErr w:type="gramEnd"/>
      <w:r w:rsidRPr="00F36989">
        <w:rPr>
          <w:rFonts w:eastAsia="Times New Roman"/>
          <w:lang w:val="fr-CA" w:eastAsia="en-CA"/>
        </w:rPr>
        <w:t>, par province, par catégorie de risque, normalisés selon l’âge en fonction de la population de 2011 – année de diagnostic de 2012</w:t>
      </w:r>
      <w:bookmarkEnd w:id="8"/>
    </w:p>
    <w:p w:rsidR="00B34AC0" w:rsidRPr="00F36989" w:rsidRDefault="00B34AC0" w:rsidP="00B34AC0">
      <w:pPr>
        <w:jc w:val="center"/>
        <w:rPr>
          <w:lang w:val="fr-CA"/>
        </w:rPr>
      </w:pPr>
      <w:r w:rsidRPr="00F36989">
        <w:rPr>
          <w:noProof/>
          <w:lang w:eastAsia="en-CA"/>
        </w:rPr>
        <w:drawing>
          <wp:inline distT="0" distB="0" distL="0" distR="0">
            <wp:extent cx="5623560" cy="5718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AC 025_Graphs_Logo_Fr_figure2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3560" cy="5718048"/>
                    </a:xfrm>
                    <a:prstGeom prst="rect">
                      <a:avLst/>
                    </a:prstGeom>
                  </pic:spPr>
                </pic:pic>
              </a:graphicData>
            </a:graphic>
          </wp:inline>
        </w:drawing>
      </w:r>
    </w:p>
    <w:p w:rsidR="00A7332B" w:rsidRPr="00F36989" w:rsidRDefault="00B34AC0">
      <w:pPr>
        <w:rPr>
          <w:lang w:val="fr-CA"/>
        </w:rPr>
        <w:sectPr w:rsidR="00A7332B" w:rsidRPr="00F36989" w:rsidSect="00A7332B">
          <w:pgSz w:w="12240" w:h="15840"/>
          <w:pgMar w:top="1440" w:right="1440" w:bottom="1440" w:left="1440" w:header="708" w:footer="708" w:gutter="0"/>
          <w:cols w:space="708"/>
          <w:docGrid w:linePitch="360"/>
        </w:sectPr>
      </w:pPr>
      <w:r w:rsidRPr="00F36989">
        <w:rPr>
          <w:lang w:val="fr-CA"/>
        </w:rPr>
        <w:br w:type="page"/>
      </w:r>
    </w:p>
    <w:p w:rsidR="007878CB" w:rsidRPr="00F36989" w:rsidRDefault="007878CB" w:rsidP="007878CB">
      <w:pPr>
        <w:pStyle w:val="Titre1"/>
        <w:rPr>
          <w:rFonts w:eastAsia="Times New Roman"/>
          <w:lang w:val="fr-CA" w:eastAsia="en-CA"/>
        </w:rPr>
      </w:pPr>
      <w:bookmarkStart w:id="9" w:name="_Toc437233655"/>
      <w:r w:rsidRPr="00F36989">
        <w:rPr>
          <w:lang w:val="fr-CA"/>
        </w:rPr>
        <w:lastRenderedPageBreak/>
        <w:t xml:space="preserve">Figure 2.3 </w:t>
      </w:r>
      <w:r w:rsidRPr="00F36989">
        <w:rPr>
          <w:rFonts w:eastAsia="Times New Roman"/>
          <w:lang w:val="fr-CA" w:eastAsia="en-CA"/>
        </w:rPr>
        <w:t>Répartition des cas de cancer de la prostate non métastatique (hommes âgés de ≥ 35 ans), par catégorie de risque, par groupe d’âge – année de diagnostic de 2012</w:t>
      </w:r>
      <w:bookmarkEnd w:id="9"/>
      <w:r w:rsidRPr="00F36989">
        <w:rPr>
          <w:rFonts w:eastAsia="Times New Roman"/>
          <w:lang w:val="fr-CA" w:eastAsia="en-CA"/>
        </w:rPr>
        <w:t xml:space="preserve"> </w:t>
      </w:r>
    </w:p>
    <w:p w:rsidR="00B34AC0" w:rsidRPr="00F36989" w:rsidRDefault="00B34AC0" w:rsidP="00B34AC0">
      <w:pPr>
        <w:jc w:val="center"/>
        <w:rPr>
          <w:lang w:val="fr-CA"/>
        </w:rPr>
      </w:pPr>
      <w:r w:rsidRPr="00F36989">
        <w:rPr>
          <w:noProof/>
          <w:lang w:eastAsia="en-CA"/>
        </w:rPr>
        <w:drawing>
          <wp:inline distT="0" distB="0" distL="0" distR="0">
            <wp:extent cx="6766560" cy="45323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AC 025_Graphs_Logo_Fr_figure2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6560" cy="4532376"/>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10" w:name="_Toc437233656"/>
      <w:r w:rsidRPr="00F36989">
        <w:rPr>
          <w:lang w:val="fr-CA"/>
        </w:rPr>
        <w:lastRenderedPageBreak/>
        <w:t xml:space="preserve">Figure 3.1 </w:t>
      </w:r>
      <w:r w:rsidRPr="00F36989">
        <w:rPr>
          <w:rFonts w:eastAsia="Times New Roman"/>
          <w:lang w:val="fr-CA" w:eastAsia="en-CA"/>
        </w:rPr>
        <w:t>Temps d’attente médian et du 90</w:t>
      </w:r>
      <w:r w:rsidRPr="00F36989">
        <w:rPr>
          <w:rFonts w:eastAsia="Times New Roman"/>
          <w:vertAlign w:val="superscript"/>
          <w:lang w:val="fr-CA" w:eastAsia="en-CA"/>
        </w:rPr>
        <w:t>e</w:t>
      </w:r>
      <w:r w:rsidRPr="00F36989">
        <w:rPr>
          <w:rFonts w:eastAsia="Times New Roman"/>
          <w:lang w:val="fr-CA" w:eastAsia="en-CA"/>
        </w:rPr>
        <w:t xml:space="preserve"> percentile entre la date de prise de rendez-vous et la date de l’intervention pour le cancer de la prostate, par province – 2014</w:t>
      </w:r>
      <w:bookmarkEnd w:id="10"/>
      <w:r w:rsidRPr="00F36989">
        <w:rPr>
          <w:rFonts w:eastAsia="Times New Roman"/>
          <w:lang w:val="fr-CA" w:eastAsia="en-CA"/>
        </w:rPr>
        <w:t xml:space="preserve"> </w:t>
      </w:r>
    </w:p>
    <w:p w:rsidR="00B34AC0" w:rsidRPr="00F36989" w:rsidRDefault="00B34AC0" w:rsidP="00B34AC0">
      <w:pPr>
        <w:jc w:val="center"/>
        <w:rPr>
          <w:lang w:val="fr-CA"/>
        </w:rPr>
      </w:pPr>
      <w:r w:rsidRPr="00F36989">
        <w:rPr>
          <w:noProof/>
          <w:lang w:eastAsia="en-CA"/>
        </w:rPr>
        <w:drawing>
          <wp:inline distT="0" distB="0" distL="0" distR="0">
            <wp:extent cx="6766560" cy="434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PAC 025_Graphs_Logo_Fr_figure3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0" cy="4343400"/>
                    </a:xfrm>
                    <a:prstGeom prst="rect">
                      <a:avLst/>
                    </a:prstGeom>
                  </pic:spPr>
                </pic:pic>
              </a:graphicData>
            </a:graphic>
          </wp:inline>
        </w:drawing>
      </w:r>
    </w:p>
    <w:p w:rsidR="009378E4" w:rsidRPr="00F36989" w:rsidRDefault="00B34AC0">
      <w:pPr>
        <w:rPr>
          <w:lang w:val="fr-CA"/>
        </w:rPr>
        <w:sectPr w:rsidR="009378E4" w:rsidRPr="00F36989" w:rsidSect="00A7332B">
          <w:pgSz w:w="15840" w:h="12240" w:orient="landscape"/>
          <w:pgMar w:top="1440" w:right="1440" w:bottom="1440" w:left="1440" w:header="708" w:footer="708" w:gutter="0"/>
          <w:cols w:space="708"/>
          <w:docGrid w:linePitch="360"/>
        </w:sectPr>
      </w:pPr>
      <w:r w:rsidRPr="00F36989">
        <w:rPr>
          <w:lang w:val="fr-CA"/>
        </w:rPr>
        <w:br w:type="page"/>
      </w:r>
    </w:p>
    <w:p w:rsidR="007878CB" w:rsidRPr="00F36989" w:rsidRDefault="007878CB" w:rsidP="007878CB">
      <w:pPr>
        <w:pStyle w:val="Titre1"/>
        <w:rPr>
          <w:rFonts w:eastAsia="Times New Roman"/>
          <w:lang w:val="fr-CA" w:eastAsia="en-CA"/>
        </w:rPr>
      </w:pPr>
      <w:bookmarkStart w:id="11" w:name="_Toc437233657"/>
      <w:r w:rsidRPr="00F36989">
        <w:rPr>
          <w:lang w:val="fr-CA"/>
        </w:rPr>
        <w:lastRenderedPageBreak/>
        <w:t xml:space="preserve">Figure 3.2 </w:t>
      </w:r>
      <w:r w:rsidRPr="00F36989">
        <w:rPr>
          <w:rFonts w:eastAsia="Times New Roman"/>
          <w:lang w:val="fr-CA" w:eastAsia="en-CA"/>
        </w:rPr>
        <w:t>Temps d’attente du 90</w:t>
      </w:r>
      <w:r w:rsidRPr="00F36989">
        <w:rPr>
          <w:rFonts w:eastAsia="Times New Roman"/>
          <w:vertAlign w:val="superscript"/>
          <w:lang w:val="fr-CA" w:eastAsia="en-CA"/>
        </w:rPr>
        <w:t>e</w:t>
      </w:r>
      <w:r w:rsidRPr="00F36989">
        <w:rPr>
          <w:rFonts w:eastAsia="Times New Roman"/>
          <w:lang w:val="fr-CA" w:eastAsia="en-CA"/>
        </w:rPr>
        <w:t xml:space="preserve"> percentile pour la radiothérapie entre la date où le patient est prêt à être traité et le début de la radiothérapie contre le cancer de la prostate, par province – année de traitement 2013</w:t>
      </w:r>
      <w:bookmarkEnd w:id="11"/>
      <w:r w:rsidRPr="00F36989">
        <w:rPr>
          <w:rFonts w:eastAsia="Times New Roman"/>
          <w:lang w:val="fr-CA" w:eastAsia="en-CA"/>
        </w:rPr>
        <w:t xml:space="preserve"> </w:t>
      </w:r>
    </w:p>
    <w:p w:rsidR="00B34AC0" w:rsidRPr="00F36989" w:rsidRDefault="009378E4" w:rsidP="00B34AC0">
      <w:pPr>
        <w:jc w:val="center"/>
        <w:rPr>
          <w:lang w:val="fr-CA"/>
        </w:rPr>
      </w:pPr>
      <w:r w:rsidRPr="00F36989">
        <w:rPr>
          <w:noProof/>
          <w:lang w:eastAsia="en-CA"/>
        </w:rPr>
        <w:drawing>
          <wp:inline distT="0" distB="0" distL="0" distR="0" wp14:anchorId="4F7A975F" wp14:editId="2D0E05BC">
            <wp:extent cx="5782056" cy="5663184"/>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C 025_Graphs_Logo_Fr_figure3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2056" cy="5663184"/>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12" w:name="_Toc437233658"/>
      <w:r w:rsidRPr="00F36989">
        <w:rPr>
          <w:rFonts w:eastAsia="Times New Roman"/>
          <w:lang w:val="fr-CA" w:eastAsia="en-CA"/>
        </w:rPr>
        <w:lastRenderedPageBreak/>
        <w:t>Figure 3.3 Temps d’attente médian</w:t>
      </w:r>
      <w:r w:rsidR="00784EB8" w:rsidRPr="00F36989">
        <w:rPr>
          <w:rFonts w:eastAsia="Times New Roman"/>
          <w:lang w:val="fr-CA" w:eastAsia="en-CA"/>
        </w:rPr>
        <w:t>s</w:t>
      </w:r>
      <w:r w:rsidRPr="00F36989">
        <w:rPr>
          <w:rFonts w:eastAsia="Times New Roman"/>
          <w:lang w:val="fr-CA" w:eastAsia="en-CA"/>
        </w:rPr>
        <w:t xml:space="preserve"> et du 90</w:t>
      </w:r>
      <w:r w:rsidRPr="00F36989">
        <w:rPr>
          <w:rFonts w:eastAsia="Times New Roman"/>
          <w:vertAlign w:val="superscript"/>
          <w:lang w:val="fr-CA" w:eastAsia="en-CA"/>
        </w:rPr>
        <w:t>e</w:t>
      </w:r>
      <w:r w:rsidRPr="00F36989">
        <w:rPr>
          <w:rFonts w:eastAsia="Times New Roman"/>
          <w:lang w:val="fr-CA" w:eastAsia="en-CA"/>
        </w:rPr>
        <w:t xml:space="preserve"> percentile entre la date à laquelle le patient est prêt à</w:t>
      </w:r>
      <w:r w:rsidR="00784EB8" w:rsidRPr="00F36989">
        <w:rPr>
          <w:rFonts w:eastAsia="Times New Roman"/>
          <w:lang w:val="fr-CA" w:eastAsia="en-CA"/>
        </w:rPr>
        <w:t xml:space="preserve"> être traité et le début de la </w:t>
      </w:r>
      <w:r w:rsidRPr="00F36989">
        <w:rPr>
          <w:rFonts w:eastAsia="Times New Roman"/>
          <w:lang w:val="fr-CA" w:eastAsia="en-CA"/>
        </w:rPr>
        <w:t>radiothérapie contre le cancer de la prostate, par province, par catégorie de ri</w:t>
      </w:r>
      <w:r w:rsidR="009378E4" w:rsidRPr="00F36989">
        <w:rPr>
          <w:rFonts w:eastAsia="Times New Roman"/>
          <w:lang w:val="fr-CA" w:eastAsia="en-CA"/>
        </w:rPr>
        <w:t>sque – année de traitement 2013</w:t>
      </w:r>
      <w:bookmarkEnd w:id="12"/>
    </w:p>
    <w:p w:rsidR="00B34AC0" w:rsidRPr="00F36989" w:rsidRDefault="009378E4" w:rsidP="009378E4">
      <w:pPr>
        <w:jc w:val="center"/>
        <w:rPr>
          <w:lang w:val="fr-CA"/>
        </w:rPr>
      </w:pPr>
      <w:r w:rsidRPr="00F36989">
        <w:rPr>
          <w:noProof/>
          <w:lang w:eastAsia="en-CA"/>
        </w:rPr>
        <w:drawing>
          <wp:inline distT="0" distB="0" distL="0" distR="0" wp14:anchorId="42447983" wp14:editId="57F6638A">
            <wp:extent cx="5720756" cy="70183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AC 025_Graphs_Logo_Fr_figure3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7301" cy="7038615"/>
                    </a:xfrm>
                    <a:prstGeom prst="rect">
                      <a:avLst/>
                    </a:prstGeom>
                  </pic:spPr>
                </pic:pic>
              </a:graphicData>
            </a:graphic>
          </wp:inline>
        </w:drawing>
      </w:r>
      <w:r w:rsidR="00B34AC0" w:rsidRPr="00F36989">
        <w:rPr>
          <w:lang w:val="fr-CA"/>
        </w:rPr>
        <w:br w:type="page"/>
      </w:r>
    </w:p>
    <w:p w:rsidR="007878CB" w:rsidRPr="00F36989" w:rsidRDefault="007878CB" w:rsidP="007878CB">
      <w:pPr>
        <w:pStyle w:val="Titre1"/>
        <w:rPr>
          <w:rFonts w:eastAsia="Times New Roman"/>
          <w:lang w:val="fr-CA" w:eastAsia="en-CA"/>
        </w:rPr>
      </w:pPr>
      <w:bookmarkStart w:id="13" w:name="_Toc437233659"/>
      <w:r w:rsidRPr="00F36989">
        <w:rPr>
          <w:lang w:val="fr-CA"/>
        </w:rPr>
        <w:lastRenderedPageBreak/>
        <w:t xml:space="preserve">Figure 3.4 </w:t>
      </w:r>
      <w:r w:rsidRPr="00F36989">
        <w:rPr>
          <w:rFonts w:eastAsia="Times New Roman"/>
          <w:lang w:val="fr-CA" w:eastAsia="en-CA"/>
        </w:rPr>
        <w:t>Pourcentage de patients atteints de cancer de la prostate (hommes âgés de ≥ 35 ans) recevant divers types de traitement</w:t>
      </w:r>
      <w:r w:rsidRPr="00F36989">
        <w:rPr>
          <w:rFonts w:eastAsia="Times New Roman"/>
          <w:sz w:val="24"/>
          <w:szCs w:val="24"/>
          <w:vertAlign w:val="superscript"/>
          <w:lang w:val="fr-CA" w:eastAsia="en-CA"/>
        </w:rPr>
        <w:t>†</w:t>
      </w:r>
      <w:r w:rsidRPr="00F36989">
        <w:rPr>
          <w:rFonts w:eastAsia="Times New Roman"/>
          <w:lang w:val="fr-CA" w:eastAsia="en-CA"/>
        </w:rPr>
        <w:t>, par catégorie de risque, par province – année de diagnostic 2010</w:t>
      </w:r>
      <w:bookmarkEnd w:id="13"/>
      <w:r w:rsidRPr="00F36989">
        <w:rPr>
          <w:rFonts w:eastAsia="Times New Roman"/>
          <w:lang w:val="fr-CA" w:eastAsia="en-CA"/>
        </w:rPr>
        <w:t xml:space="preserve"> </w:t>
      </w:r>
    </w:p>
    <w:p w:rsidR="00B34AC0" w:rsidRPr="00F36989" w:rsidRDefault="009378E4" w:rsidP="00B34AC0">
      <w:pPr>
        <w:jc w:val="center"/>
        <w:rPr>
          <w:lang w:val="fr-CA"/>
        </w:rPr>
      </w:pPr>
      <w:r w:rsidRPr="00F36989">
        <w:rPr>
          <w:noProof/>
          <w:lang w:eastAsia="en-CA"/>
        </w:rPr>
        <w:drawing>
          <wp:inline distT="0" distB="0" distL="0" distR="0" wp14:anchorId="31377AE0" wp14:editId="3871A709">
            <wp:extent cx="5943600" cy="7096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AC 025_Graphs_Logo_Fr_figure3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096760"/>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14" w:name="_Toc437233660"/>
      <w:r w:rsidRPr="00F36989">
        <w:rPr>
          <w:lang w:val="fr-CA"/>
        </w:rPr>
        <w:lastRenderedPageBreak/>
        <w:t xml:space="preserve">Figure 3.5 </w:t>
      </w:r>
      <w:r w:rsidRPr="00F36989">
        <w:rPr>
          <w:rFonts w:eastAsia="Times New Roman"/>
          <w:lang w:val="fr-CA" w:eastAsia="en-CA"/>
        </w:rPr>
        <w:t>Pourcentage de patients atteints de cancer de la prostate recevant divers types de traitement†, chez les hommes âgés de moins de 75 ans, par catégorie de risque, par province – année de diagnostic 2010</w:t>
      </w:r>
      <w:bookmarkEnd w:id="14"/>
    </w:p>
    <w:p w:rsidR="00B34AC0" w:rsidRPr="00F36989" w:rsidRDefault="009378E4" w:rsidP="009378E4">
      <w:pPr>
        <w:jc w:val="center"/>
        <w:rPr>
          <w:lang w:val="fr-CA"/>
        </w:rPr>
      </w:pPr>
      <w:r w:rsidRPr="00F36989">
        <w:rPr>
          <w:noProof/>
          <w:lang w:eastAsia="en-CA"/>
        </w:rPr>
        <w:drawing>
          <wp:inline distT="0" distB="0" distL="0" distR="0" wp14:anchorId="045129BC" wp14:editId="38BAC440">
            <wp:extent cx="5777345" cy="6977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PAC 025_Graphs_Logo_Fr_figure3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1784" cy="6982616"/>
                    </a:xfrm>
                    <a:prstGeom prst="rect">
                      <a:avLst/>
                    </a:prstGeom>
                  </pic:spPr>
                </pic:pic>
              </a:graphicData>
            </a:graphic>
          </wp:inline>
        </w:drawing>
      </w:r>
      <w:r w:rsidR="00B34AC0" w:rsidRPr="00F36989">
        <w:rPr>
          <w:lang w:val="fr-CA"/>
        </w:rPr>
        <w:br w:type="page"/>
      </w:r>
    </w:p>
    <w:p w:rsidR="007878CB" w:rsidRPr="00F36989" w:rsidRDefault="007878CB" w:rsidP="007878CB">
      <w:pPr>
        <w:pStyle w:val="Titre1"/>
        <w:rPr>
          <w:rFonts w:eastAsia="Times New Roman"/>
          <w:lang w:val="fr-CA" w:eastAsia="en-CA"/>
        </w:rPr>
      </w:pPr>
      <w:bookmarkStart w:id="15" w:name="_Toc437233661"/>
      <w:r w:rsidRPr="00F36989">
        <w:rPr>
          <w:lang w:val="fr-CA"/>
        </w:rPr>
        <w:lastRenderedPageBreak/>
        <w:t xml:space="preserve">Figure 3.6 </w:t>
      </w:r>
      <w:r w:rsidRPr="00F36989">
        <w:rPr>
          <w:rFonts w:eastAsia="Times New Roman"/>
          <w:lang w:val="fr-CA" w:eastAsia="en-CA"/>
        </w:rPr>
        <w:t>Pourcentage de patients atteints de cancer de la prostate recevant divers types de traitement†, chez les hommes âgés de plus de 75 ans, par catégorie de risque, par province – année de diagnostic 2010</w:t>
      </w:r>
      <w:bookmarkEnd w:id="15"/>
    </w:p>
    <w:p w:rsidR="00B34AC0" w:rsidRPr="00F36989" w:rsidRDefault="009378E4" w:rsidP="00B34AC0">
      <w:pPr>
        <w:jc w:val="center"/>
        <w:rPr>
          <w:lang w:val="fr-CA"/>
        </w:rPr>
      </w:pPr>
      <w:r w:rsidRPr="00F36989">
        <w:rPr>
          <w:noProof/>
          <w:lang w:eastAsia="en-CA"/>
        </w:rPr>
        <w:drawing>
          <wp:inline distT="0" distB="0" distL="0" distR="0" wp14:anchorId="3BA99233" wp14:editId="735A7A94">
            <wp:extent cx="5600091" cy="6816436"/>
            <wp:effectExtent l="0" t="0" r="63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AC 025_Graphs_Logo_Fr_figure3_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6239" cy="6823919"/>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16" w:name="_Toc437233662"/>
      <w:r w:rsidRPr="00F36989">
        <w:rPr>
          <w:lang w:val="fr-CA"/>
        </w:rPr>
        <w:lastRenderedPageBreak/>
        <w:t xml:space="preserve">Figure 3.7 </w:t>
      </w:r>
      <w:r w:rsidRPr="00F36989">
        <w:rPr>
          <w:rFonts w:eastAsia="Times New Roman"/>
          <w:lang w:val="fr-CA" w:eastAsia="en-CA"/>
        </w:rPr>
        <w:t>Pourcentage de patients atteints de cancer de la prostate (hommes âgés de ≥ 35 ans) recevant divers</w:t>
      </w:r>
      <w:r w:rsidRPr="00F36989">
        <w:rPr>
          <w:rFonts w:eastAsia="Times New Roman"/>
          <w:lang w:val="fr-CA" w:eastAsia="en-CA"/>
        </w:rPr>
        <w:br/>
        <w:t>types de radiothérapie†, par catégorie de risque, par province – année de diagnostic 2010</w:t>
      </w:r>
      <w:bookmarkEnd w:id="16"/>
    </w:p>
    <w:p w:rsidR="00B34AC0" w:rsidRPr="00F36989" w:rsidRDefault="009378E4" w:rsidP="00B34AC0">
      <w:pPr>
        <w:jc w:val="center"/>
        <w:rPr>
          <w:lang w:val="fr-CA"/>
        </w:rPr>
      </w:pPr>
      <w:r w:rsidRPr="00F36989">
        <w:rPr>
          <w:noProof/>
          <w:lang w:eastAsia="en-CA"/>
        </w:rPr>
        <w:drawing>
          <wp:inline distT="0" distB="0" distL="0" distR="0" wp14:anchorId="40216FF2" wp14:editId="5DD05D32">
            <wp:extent cx="5943600" cy="68078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AC 025_Graphs_Logo_Fr_figure3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807835"/>
                    </a:xfrm>
                    <a:prstGeom prst="rect">
                      <a:avLst/>
                    </a:prstGeom>
                  </pic:spPr>
                </pic:pic>
              </a:graphicData>
            </a:graphic>
          </wp:inline>
        </w:drawing>
      </w:r>
    </w:p>
    <w:p w:rsidR="009378E4" w:rsidRPr="00F36989" w:rsidRDefault="00B34AC0">
      <w:pPr>
        <w:rPr>
          <w:lang w:val="fr-CA"/>
        </w:rPr>
        <w:sectPr w:rsidR="009378E4" w:rsidRPr="00F36989" w:rsidSect="009378E4">
          <w:pgSz w:w="12240" w:h="15840"/>
          <w:pgMar w:top="1440" w:right="1440" w:bottom="1440" w:left="1440" w:header="708" w:footer="708" w:gutter="0"/>
          <w:cols w:space="708"/>
          <w:docGrid w:linePitch="360"/>
        </w:sectPr>
      </w:pPr>
      <w:r w:rsidRPr="00F36989">
        <w:rPr>
          <w:lang w:val="fr-CA"/>
        </w:rPr>
        <w:br w:type="page"/>
      </w:r>
    </w:p>
    <w:p w:rsidR="007878CB" w:rsidRPr="00F36989" w:rsidRDefault="007878CB" w:rsidP="007878CB">
      <w:pPr>
        <w:pStyle w:val="Titre1"/>
        <w:rPr>
          <w:rFonts w:eastAsia="Times New Roman"/>
          <w:lang w:val="fr-CA" w:eastAsia="en-CA"/>
        </w:rPr>
      </w:pPr>
      <w:bookmarkStart w:id="17" w:name="_Toc437233663"/>
      <w:r w:rsidRPr="00F36989">
        <w:rPr>
          <w:lang w:val="fr-CA"/>
        </w:rPr>
        <w:lastRenderedPageBreak/>
        <w:t xml:space="preserve">Figure 3.8 </w:t>
      </w:r>
      <w:r w:rsidRPr="00F36989">
        <w:rPr>
          <w:rFonts w:eastAsia="Times New Roman"/>
          <w:lang w:val="fr-CA" w:eastAsia="en-CA"/>
        </w:rPr>
        <w:t>Pourcentage de patients atteints de cancer de la prostate recevant une prostatectomie radicale, par voie d’abord (%), par province – exercice 2013-2014</w:t>
      </w:r>
      <w:bookmarkEnd w:id="17"/>
      <w:r w:rsidRPr="00F36989">
        <w:rPr>
          <w:rFonts w:eastAsia="Times New Roman"/>
          <w:lang w:val="fr-CA" w:eastAsia="en-CA"/>
        </w:rPr>
        <w:t xml:space="preserve"> </w:t>
      </w:r>
    </w:p>
    <w:p w:rsidR="00B34AC0" w:rsidRPr="00F36989" w:rsidRDefault="00B34AC0" w:rsidP="00B34AC0">
      <w:pPr>
        <w:jc w:val="center"/>
        <w:rPr>
          <w:lang w:val="fr-CA"/>
        </w:rPr>
      </w:pPr>
      <w:r w:rsidRPr="00F36989">
        <w:rPr>
          <w:noProof/>
          <w:lang w:eastAsia="en-CA"/>
        </w:rPr>
        <w:drawing>
          <wp:inline distT="0" distB="0" distL="0" distR="0">
            <wp:extent cx="6766560" cy="480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PAC 025_Graphs_Logo_Fr_figure3_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6560" cy="4800600"/>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lang w:val="fr-CA"/>
        </w:rPr>
      </w:pPr>
      <w:bookmarkStart w:id="18" w:name="_Toc437233664"/>
      <w:r w:rsidRPr="00F36989">
        <w:rPr>
          <w:lang w:val="fr-CA"/>
        </w:rPr>
        <w:lastRenderedPageBreak/>
        <w:t>Figure 4.1 Pourcentage des patients atteints de cancer de la prostate qui déclarent une évaluation d’expérience négative dans tous les aspects des soins, par province – de 2011 à 2013</w:t>
      </w:r>
      <w:bookmarkEnd w:id="18"/>
    </w:p>
    <w:p w:rsidR="00B34AC0" w:rsidRPr="00F36989" w:rsidRDefault="00B34AC0" w:rsidP="007878CB">
      <w:pPr>
        <w:jc w:val="center"/>
        <w:rPr>
          <w:lang w:val="fr-CA"/>
        </w:rPr>
      </w:pPr>
      <w:r w:rsidRPr="00F36989">
        <w:rPr>
          <w:noProof/>
          <w:lang w:eastAsia="en-CA"/>
        </w:rPr>
        <w:drawing>
          <wp:inline distT="0" distB="0" distL="0" distR="0">
            <wp:extent cx="5620512" cy="50932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PAC 025_Graphs_Logo_Fr_figure4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0512" cy="5093208"/>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19" w:name="_Toc437233665"/>
      <w:r w:rsidRPr="00F36989">
        <w:rPr>
          <w:lang w:val="fr-CA"/>
        </w:rPr>
        <w:lastRenderedPageBreak/>
        <w:t xml:space="preserve">Figure 4.2 </w:t>
      </w:r>
      <w:r w:rsidRPr="00F36989">
        <w:rPr>
          <w:rFonts w:eastAsia="Times New Roman"/>
          <w:lang w:val="fr-CA" w:eastAsia="en-CA"/>
        </w:rPr>
        <w:t>Aspect du soutien émotionnel : Pourcentage des patients atteints de cancer de la prostate qui déclarent une évaluation d’expérience négative, par province – de 2011 à 2013</w:t>
      </w:r>
      <w:bookmarkEnd w:id="19"/>
    </w:p>
    <w:p w:rsidR="00B34AC0" w:rsidRPr="00F36989" w:rsidRDefault="00B34AC0" w:rsidP="007878CB">
      <w:pPr>
        <w:jc w:val="center"/>
        <w:rPr>
          <w:lang w:val="fr-CA"/>
        </w:rPr>
      </w:pPr>
      <w:r w:rsidRPr="00F36989">
        <w:rPr>
          <w:noProof/>
          <w:lang w:eastAsia="en-CA"/>
        </w:rPr>
        <w:drawing>
          <wp:inline distT="0" distB="0" distL="0" distR="0">
            <wp:extent cx="6708648" cy="525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AC 025_Graphs_Logo_Fr_figure4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8648" cy="5257800"/>
                    </a:xfrm>
                    <a:prstGeom prst="rect">
                      <a:avLst/>
                    </a:prstGeom>
                  </pic:spPr>
                </pic:pic>
              </a:graphicData>
            </a:graphic>
          </wp:inline>
        </w:drawing>
      </w:r>
      <w:r w:rsidRPr="00F36989">
        <w:rPr>
          <w:lang w:val="fr-CA"/>
        </w:rPr>
        <w:br w:type="page"/>
      </w:r>
    </w:p>
    <w:p w:rsidR="007878CB" w:rsidRPr="00F36989" w:rsidRDefault="007878CB" w:rsidP="007878CB">
      <w:pPr>
        <w:pStyle w:val="Titre1"/>
        <w:rPr>
          <w:rFonts w:eastAsia="Times New Roman"/>
          <w:lang w:val="fr-CA" w:eastAsia="en-CA"/>
        </w:rPr>
      </w:pPr>
      <w:bookmarkStart w:id="20" w:name="_Toc437233666"/>
      <w:r w:rsidRPr="00F36989">
        <w:rPr>
          <w:lang w:val="fr-CA"/>
        </w:rPr>
        <w:lastRenderedPageBreak/>
        <w:t xml:space="preserve">Figure 4.3 </w:t>
      </w:r>
      <w:r w:rsidRPr="00F36989">
        <w:rPr>
          <w:rFonts w:eastAsia="Times New Roman"/>
          <w:lang w:val="fr-CA" w:eastAsia="en-CA"/>
        </w:rPr>
        <w:t xml:space="preserve">Aspect de l’information, de la communication et de l’éducation : Pourcentage de patients atteints de cancer de la prostate qui </w:t>
      </w:r>
      <w:proofErr w:type="spellStart"/>
      <w:r w:rsidRPr="00F36989">
        <w:rPr>
          <w:rFonts w:eastAsia="Times New Roman"/>
          <w:lang w:val="fr-CA" w:eastAsia="en-CA"/>
        </w:rPr>
        <w:t>déclarente</w:t>
      </w:r>
      <w:proofErr w:type="spellEnd"/>
      <w:r w:rsidRPr="00F36989">
        <w:rPr>
          <w:rFonts w:eastAsia="Times New Roman"/>
          <w:lang w:val="fr-CA" w:eastAsia="en-CA"/>
        </w:rPr>
        <w:t xml:space="preserve"> une évaluation d’expérience négative, par province – de 2011 à 2013</w:t>
      </w:r>
      <w:bookmarkEnd w:id="20"/>
    </w:p>
    <w:p w:rsidR="00B34AC0" w:rsidRPr="00F36989" w:rsidRDefault="00B34AC0" w:rsidP="009378E4">
      <w:pPr>
        <w:jc w:val="center"/>
        <w:rPr>
          <w:lang w:val="fr-CA"/>
        </w:rPr>
      </w:pPr>
      <w:r w:rsidRPr="00F36989">
        <w:rPr>
          <w:noProof/>
          <w:lang w:eastAsia="en-CA"/>
        </w:rPr>
        <w:drawing>
          <wp:inline distT="0" distB="0" distL="0" distR="0">
            <wp:extent cx="6409391" cy="502326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AC 025_Graphs_Logo_Fr_figure4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16830" cy="5029092"/>
                    </a:xfrm>
                    <a:prstGeom prst="rect">
                      <a:avLst/>
                    </a:prstGeom>
                  </pic:spPr>
                </pic:pic>
              </a:graphicData>
            </a:graphic>
          </wp:inline>
        </w:drawing>
      </w:r>
      <w:r w:rsidRPr="00F36989">
        <w:rPr>
          <w:lang w:val="fr-CA"/>
        </w:rPr>
        <w:br w:type="page"/>
      </w:r>
    </w:p>
    <w:p w:rsidR="007878CB" w:rsidRPr="00F36989" w:rsidRDefault="007878CB" w:rsidP="007878CB">
      <w:pPr>
        <w:pStyle w:val="Titre1"/>
        <w:rPr>
          <w:rFonts w:eastAsia="Times New Roman"/>
          <w:lang w:val="fr-CA" w:eastAsia="en-CA"/>
        </w:rPr>
      </w:pPr>
      <w:bookmarkStart w:id="21" w:name="_Toc437233667"/>
      <w:r w:rsidRPr="00F36989">
        <w:rPr>
          <w:lang w:val="fr-CA"/>
        </w:rPr>
        <w:lastRenderedPageBreak/>
        <w:t xml:space="preserve">Figure 4.4 </w:t>
      </w:r>
      <w:r w:rsidRPr="00F36989">
        <w:rPr>
          <w:rFonts w:eastAsia="Times New Roman"/>
          <w:lang w:val="fr-CA" w:eastAsia="en-CA"/>
        </w:rPr>
        <w:t>Pourcentage d’hommes atteints du cancer de la prostate recevant une radiothérapie dans l’année qui précède leur décès, par province – 2011</w:t>
      </w:r>
      <w:bookmarkEnd w:id="21"/>
      <w:r w:rsidRPr="00F36989">
        <w:rPr>
          <w:rFonts w:eastAsia="Times New Roman"/>
          <w:lang w:val="fr-CA" w:eastAsia="en-CA"/>
        </w:rPr>
        <w:t xml:space="preserve"> </w:t>
      </w:r>
    </w:p>
    <w:p w:rsidR="00B34AC0" w:rsidRPr="00F36989" w:rsidRDefault="00B34AC0" w:rsidP="00B34AC0">
      <w:pPr>
        <w:jc w:val="center"/>
        <w:rPr>
          <w:lang w:val="fr-CA"/>
        </w:rPr>
      </w:pPr>
      <w:r w:rsidRPr="00F36989">
        <w:rPr>
          <w:noProof/>
          <w:lang w:eastAsia="en-CA"/>
        </w:rPr>
        <w:drawing>
          <wp:inline distT="0" distB="0" distL="0" distR="0">
            <wp:extent cx="6766560" cy="403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AC 025_Graphs_Logo_Fr_figure4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66560" cy="4038600"/>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22" w:name="_Toc437233668"/>
      <w:r w:rsidRPr="00F36989">
        <w:rPr>
          <w:lang w:val="fr-CA"/>
        </w:rPr>
        <w:lastRenderedPageBreak/>
        <w:t xml:space="preserve">Figure 4.5 </w:t>
      </w:r>
      <w:r w:rsidRPr="00F36989">
        <w:rPr>
          <w:rFonts w:eastAsia="Times New Roman"/>
          <w:lang w:val="fr-CA" w:eastAsia="en-CA"/>
        </w:rPr>
        <w:t>Pourcentage de décès de patients atteints de cancer de la prostate survenus à l’hôpital, au domicile privé ou ailleurs, par province – 2011</w:t>
      </w:r>
      <w:bookmarkEnd w:id="22"/>
    </w:p>
    <w:p w:rsidR="00B34AC0" w:rsidRPr="00F36989" w:rsidRDefault="00B34AC0" w:rsidP="00B34AC0">
      <w:pPr>
        <w:jc w:val="center"/>
        <w:rPr>
          <w:lang w:val="fr-CA"/>
        </w:rPr>
      </w:pPr>
      <w:r w:rsidRPr="00F36989">
        <w:rPr>
          <w:noProof/>
          <w:lang w:eastAsia="en-CA"/>
        </w:rPr>
        <w:drawing>
          <wp:inline distT="0" distB="0" distL="0" distR="0">
            <wp:extent cx="6766560" cy="412699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PAC 025_Graphs_Logo_Fr_figure4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66560" cy="4126992"/>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23" w:name="_Toc437233669"/>
      <w:r w:rsidRPr="00F36989">
        <w:rPr>
          <w:lang w:val="fr-CA"/>
        </w:rPr>
        <w:lastRenderedPageBreak/>
        <w:t xml:space="preserve">Figure 4.6 </w:t>
      </w:r>
      <w:r w:rsidRPr="00F36989">
        <w:rPr>
          <w:rFonts w:eastAsia="Times New Roman"/>
          <w:lang w:val="fr-CA" w:eastAsia="en-CA"/>
        </w:rPr>
        <w:t>Pourcentage de décès dus au cancer de la prostate, au cancer du sein, au cancer du poumon et au cancer colorectal survenus à l’hôpital, au domicile privé ou ailleurs, Canada – 2011</w:t>
      </w:r>
      <w:bookmarkEnd w:id="23"/>
    </w:p>
    <w:p w:rsidR="00B34AC0" w:rsidRPr="00F36989" w:rsidRDefault="00B34AC0" w:rsidP="00B34AC0">
      <w:pPr>
        <w:jc w:val="center"/>
        <w:rPr>
          <w:lang w:val="fr-CA"/>
        </w:rPr>
      </w:pPr>
      <w:r w:rsidRPr="00F36989">
        <w:rPr>
          <w:noProof/>
          <w:lang w:eastAsia="en-CA"/>
        </w:rPr>
        <w:drawing>
          <wp:inline distT="0" distB="0" distL="0" distR="0">
            <wp:extent cx="6766560" cy="42550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 025_Graphs_Logo_Fr_figure4_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6560" cy="4255008"/>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24" w:name="_Toc437233670"/>
      <w:r w:rsidRPr="00F36989">
        <w:rPr>
          <w:lang w:val="fr-CA"/>
        </w:rPr>
        <w:lastRenderedPageBreak/>
        <w:t xml:space="preserve">Figure 5.1 </w:t>
      </w:r>
      <w:r w:rsidRPr="00F36989">
        <w:rPr>
          <w:rFonts w:eastAsia="Times New Roman"/>
          <w:lang w:val="fr-CA" w:eastAsia="en-CA"/>
        </w:rPr>
        <w:t>Répartition des investissements dans la recherche sur le cancer (2012), des nouveaux cas de cancer (2010) et des décès attribuables au cancer (2011) selon le siège de la maladie, Canada</w:t>
      </w:r>
      <w:bookmarkEnd w:id="24"/>
    </w:p>
    <w:p w:rsidR="00B34AC0" w:rsidRPr="00F36989" w:rsidRDefault="00B34AC0" w:rsidP="00B34AC0">
      <w:pPr>
        <w:jc w:val="center"/>
        <w:rPr>
          <w:lang w:val="fr-CA"/>
        </w:rPr>
      </w:pPr>
      <w:r w:rsidRPr="00F36989">
        <w:rPr>
          <w:noProof/>
          <w:lang w:eastAsia="en-CA"/>
        </w:rPr>
        <w:drawing>
          <wp:inline distT="0" distB="0" distL="0" distR="0">
            <wp:extent cx="7050024" cy="34808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PAC 025_Graphs_Logo_Fr_figure5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50024" cy="3480816"/>
                    </a:xfrm>
                    <a:prstGeom prst="rect">
                      <a:avLst/>
                    </a:prstGeom>
                  </pic:spPr>
                </pic:pic>
              </a:graphicData>
            </a:graphic>
          </wp:inline>
        </w:drawing>
      </w:r>
    </w:p>
    <w:p w:rsidR="00B34AC0" w:rsidRPr="00F36989" w:rsidRDefault="00B34AC0">
      <w:pPr>
        <w:rPr>
          <w:lang w:val="fr-CA"/>
        </w:rPr>
      </w:pPr>
      <w:r w:rsidRPr="00F36989">
        <w:rPr>
          <w:lang w:val="fr-CA"/>
        </w:rPr>
        <w:br w:type="page"/>
      </w:r>
    </w:p>
    <w:p w:rsidR="007878CB" w:rsidRPr="00F36989" w:rsidRDefault="007878CB" w:rsidP="007878CB">
      <w:pPr>
        <w:pStyle w:val="Titre1"/>
        <w:rPr>
          <w:rFonts w:eastAsia="Times New Roman"/>
          <w:lang w:val="fr-CA" w:eastAsia="en-CA"/>
        </w:rPr>
      </w:pPr>
      <w:bookmarkStart w:id="25" w:name="_Toc437233671"/>
      <w:r w:rsidRPr="00F36989">
        <w:rPr>
          <w:lang w:val="fr-CA"/>
        </w:rPr>
        <w:lastRenderedPageBreak/>
        <w:t xml:space="preserve">Figure 5.2 </w:t>
      </w:r>
      <w:r w:rsidRPr="00F36989">
        <w:rPr>
          <w:rFonts w:eastAsia="Times New Roman"/>
          <w:lang w:val="fr-CA" w:eastAsia="en-CA"/>
        </w:rPr>
        <w:t>Répartition des investissements dans la recherche sur le cancer de la prostate par domaine de recherche pour les cinq principaux commanditaires, Canada – 2005 et 2012</w:t>
      </w:r>
      <w:bookmarkEnd w:id="25"/>
    </w:p>
    <w:p w:rsidR="00B34AC0" w:rsidRPr="00F36989" w:rsidRDefault="00B34AC0" w:rsidP="007878CB">
      <w:pPr>
        <w:jc w:val="center"/>
        <w:rPr>
          <w:lang w:val="fr-CA"/>
        </w:rPr>
      </w:pPr>
      <w:r w:rsidRPr="00F36989">
        <w:rPr>
          <w:noProof/>
          <w:lang w:eastAsia="en-CA"/>
        </w:rPr>
        <w:drawing>
          <wp:inline distT="0" distB="0" distL="0" distR="0">
            <wp:extent cx="6864096" cy="5141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PAC 025_Graphs_Logo_Fr_figure5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64096" cy="5141976"/>
                    </a:xfrm>
                    <a:prstGeom prst="rect">
                      <a:avLst/>
                    </a:prstGeom>
                  </pic:spPr>
                </pic:pic>
              </a:graphicData>
            </a:graphic>
          </wp:inline>
        </w:drawing>
      </w:r>
      <w:r w:rsidRPr="00F36989">
        <w:rPr>
          <w:lang w:val="fr-CA"/>
        </w:rPr>
        <w:br w:type="page"/>
      </w:r>
    </w:p>
    <w:p w:rsidR="007878CB" w:rsidRPr="00F36989" w:rsidRDefault="007878CB" w:rsidP="007878CB">
      <w:pPr>
        <w:pStyle w:val="Titre1"/>
        <w:rPr>
          <w:rFonts w:eastAsia="Times New Roman"/>
          <w:lang w:val="fr-CA" w:eastAsia="en-CA"/>
        </w:rPr>
      </w:pPr>
      <w:bookmarkStart w:id="26" w:name="_Toc437233672"/>
      <w:r w:rsidRPr="00F36989">
        <w:rPr>
          <w:lang w:val="fr-CA"/>
        </w:rPr>
        <w:lastRenderedPageBreak/>
        <w:t xml:space="preserve">Figure 5.3 </w:t>
      </w:r>
      <w:r w:rsidRPr="00F36989">
        <w:rPr>
          <w:rFonts w:eastAsia="Times New Roman"/>
          <w:lang w:val="fr-CA" w:eastAsia="en-CA"/>
        </w:rPr>
        <w:t>Investissement par</w:t>
      </w:r>
      <w:r w:rsidR="009378E4" w:rsidRPr="00F36989">
        <w:rPr>
          <w:rFonts w:eastAsia="Times New Roman"/>
          <w:lang w:val="fr-CA" w:eastAsia="en-CA"/>
        </w:rPr>
        <w:t xml:space="preserve"> habitant (population masculine</w:t>
      </w:r>
      <w:r w:rsidRPr="00F36989">
        <w:rPr>
          <w:rFonts w:eastAsia="Times New Roman"/>
          <w:lang w:val="fr-CA" w:eastAsia="en-CA"/>
        </w:rPr>
        <w:t>) dans la recherche sur le cancer de la prostate, par province – 2005 et 2012</w:t>
      </w:r>
      <w:bookmarkEnd w:id="26"/>
      <w:r w:rsidRPr="00F36989">
        <w:rPr>
          <w:rFonts w:eastAsia="Times New Roman"/>
          <w:lang w:val="fr-CA" w:eastAsia="en-CA"/>
        </w:rPr>
        <w:t xml:space="preserve"> </w:t>
      </w:r>
    </w:p>
    <w:p w:rsidR="00B34AC0" w:rsidRPr="00F36989" w:rsidRDefault="00B34AC0" w:rsidP="009378E4">
      <w:pPr>
        <w:jc w:val="center"/>
        <w:rPr>
          <w:lang w:val="fr-CA"/>
        </w:rPr>
      </w:pPr>
      <w:r w:rsidRPr="00F36989">
        <w:rPr>
          <w:noProof/>
          <w:lang w:eastAsia="en-CA"/>
        </w:rPr>
        <w:drawing>
          <wp:inline distT="0" distB="0" distL="0" distR="0">
            <wp:extent cx="5629656" cy="5334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PAC 025_Graphs_Logo_Fr_figure5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9656" cy="5334000"/>
                    </a:xfrm>
                    <a:prstGeom prst="rect">
                      <a:avLst/>
                    </a:prstGeom>
                  </pic:spPr>
                </pic:pic>
              </a:graphicData>
            </a:graphic>
          </wp:inline>
        </w:drawing>
      </w:r>
      <w:r w:rsidRPr="00F36989">
        <w:rPr>
          <w:lang w:val="fr-CA"/>
        </w:rPr>
        <w:br w:type="page"/>
      </w:r>
    </w:p>
    <w:p w:rsidR="009378E4" w:rsidRPr="00F36989" w:rsidRDefault="009378E4" w:rsidP="009378E4">
      <w:pPr>
        <w:pStyle w:val="Titre1"/>
        <w:rPr>
          <w:rFonts w:eastAsia="Times New Roman"/>
          <w:lang w:val="fr-CA" w:eastAsia="en-CA"/>
        </w:rPr>
      </w:pPr>
      <w:bookmarkStart w:id="27" w:name="_Toc437233673"/>
      <w:r w:rsidRPr="00F36989">
        <w:rPr>
          <w:lang w:val="fr-CA"/>
        </w:rPr>
        <w:lastRenderedPageBreak/>
        <w:t xml:space="preserve">Figure 5.4 </w:t>
      </w:r>
      <w:r w:rsidRPr="00F36989">
        <w:rPr>
          <w:rFonts w:eastAsia="Times New Roman"/>
          <w:lang w:val="fr-CA" w:eastAsia="en-CA"/>
        </w:rPr>
        <w:t>Ratio entre les patients adultes atteints de cancer de la prostate inscrits à des essais cliniques et le nombre de nouveaux cas de cancer de la prostate, par siège de la maladie, pour les quatre types de cancer les plus courants et pour tous les cancers† – année d’inscription 2013</w:t>
      </w:r>
      <w:bookmarkEnd w:id="27"/>
    </w:p>
    <w:p w:rsidR="00B34AC0" w:rsidRPr="00F36989" w:rsidRDefault="00B34AC0" w:rsidP="00B34AC0">
      <w:pPr>
        <w:jc w:val="center"/>
        <w:rPr>
          <w:lang w:val="fr-CA"/>
        </w:rPr>
      </w:pPr>
      <w:r w:rsidRPr="00F36989">
        <w:rPr>
          <w:noProof/>
          <w:lang w:eastAsia="en-CA"/>
        </w:rPr>
        <w:drawing>
          <wp:inline distT="0" distB="0" distL="0" distR="0">
            <wp:extent cx="4681728" cy="46482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PAC 025_Graphs_Logo_Fr_figure5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1728" cy="4648200"/>
                    </a:xfrm>
                    <a:prstGeom prst="rect">
                      <a:avLst/>
                    </a:prstGeom>
                  </pic:spPr>
                </pic:pic>
              </a:graphicData>
            </a:graphic>
          </wp:inline>
        </w:drawing>
      </w:r>
    </w:p>
    <w:p w:rsidR="00B34AC0" w:rsidRPr="00F36989" w:rsidRDefault="00B34AC0">
      <w:pPr>
        <w:rPr>
          <w:lang w:val="fr-CA"/>
        </w:rPr>
      </w:pPr>
      <w:r w:rsidRPr="00F36989">
        <w:rPr>
          <w:lang w:val="fr-CA"/>
        </w:rPr>
        <w:br w:type="page"/>
      </w:r>
    </w:p>
    <w:p w:rsidR="009378E4" w:rsidRPr="00F36989" w:rsidRDefault="009378E4" w:rsidP="009378E4">
      <w:pPr>
        <w:pStyle w:val="Titre1"/>
        <w:rPr>
          <w:rFonts w:eastAsia="Times New Roman"/>
          <w:lang w:val="fr-CA" w:eastAsia="en-CA"/>
        </w:rPr>
      </w:pPr>
      <w:bookmarkStart w:id="28" w:name="_Toc437233674"/>
      <w:r w:rsidRPr="00F36989">
        <w:rPr>
          <w:lang w:val="fr-CA"/>
        </w:rPr>
        <w:lastRenderedPageBreak/>
        <w:t xml:space="preserve">Figure 5.5 </w:t>
      </w:r>
      <w:r w:rsidRPr="00F36989">
        <w:rPr>
          <w:rFonts w:eastAsia="Times New Roman"/>
          <w:lang w:val="fr-CA" w:eastAsia="en-CA"/>
        </w:rPr>
        <w:t>Ratio entre les patients adultes atteints de cancer de la prostate inscrits à des essais cliniques et le nombre de nouveaux cas, par province – année d’inscription 2013</w:t>
      </w:r>
      <w:bookmarkEnd w:id="28"/>
    </w:p>
    <w:p w:rsidR="00B34AC0" w:rsidRPr="00F36989" w:rsidRDefault="00B34AC0" w:rsidP="009378E4">
      <w:pPr>
        <w:jc w:val="center"/>
        <w:rPr>
          <w:lang w:val="fr-CA"/>
        </w:rPr>
      </w:pPr>
      <w:r w:rsidRPr="00F36989">
        <w:rPr>
          <w:noProof/>
          <w:lang w:eastAsia="en-CA"/>
        </w:rPr>
        <w:drawing>
          <wp:inline distT="0" distB="0" distL="0" distR="0">
            <wp:extent cx="6766560" cy="41269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PAC 025_Graphs_Logo_Fr_figure5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66560" cy="4126992"/>
                    </a:xfrm>
                    <a:prstGeom prst="rect">
                      <a:avLst/>
                    </a:prstGeom>
                  </pic:spPr>
                </pic:pic>
              </a:graphicData>
            </a:graphic>
          </wp:inline>
        </w:drawing>
      </w:r>
    </w:p>
    <w:sectPr w:rsidR="00B34AC0" w:rsidRPr="00F36989" w:rsidSect="009378E4">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3F7F73"/>
    <w:multiLevelType w:val="hybridMultilevel"/>
    <w:tmpl w:val="75C2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AC0"/>
    <w:rsid w:val="0006694E"/>
    <w:rsid w:val="000A67D3"/>
    <w:rsid w:val="0010170B"/>
    <w:rsid w:val="00203669"/>
    <w:rsid w:val="00462312"/>
    <w:rsid w:val="004A233B"/>
    <w:rsid w:val="004C3A14"/>
    <w:rsid w:val="005055D7"/>
    <w:rsid w:val="00513C0F"/>
    <w:rsid w:val="00784EB8"/>
    <w:rsid w:val="007878CB"/>
    <w:rsid w:val="009378E4"/>
    <w:rsid w:val="00A7332B"/>
    <w:rsid w:val="00B34AC0"/>
    <w:rsid w:val="00C558AB"/>
    <w:rsid w:val="00F369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4D8315-3F73-4307-B0BD-02B705D10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34AC0"/>
    <w:pPr>
      <w:keepNext/>
      <w:keepLines/>
      <w:spacing w:before="240" w:after="0"/>
      <w:outlineLvl w:val="0"/>
    </w:pPr>
    <w:rPr>
      <w:rFonts w:eastAsiaTheme="majorEastAsia" w:cstheme="majorBidi"/>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4AC0"/>
    <w:rPr>
      <w:rFonts w:eastAsiaTheme="majorEastAsia" w:cstheme="majorBidi"/>
      <w:sz w:val="32"/>
      <w:szCs w:val="32"/>
    </w:rPr>
  </w:style>
  <w:style w:type="paragraph" w:styleId="Tabledesillustrations">
    <w:name w:val="table of figures"/>
    <w:basedOn w:val="Normal"/>
    <w:next w:val="Normal"/>
    <w:uiPriority w:val="99"/>
    <w:unhideWhenUsed/>
    <w:rsid w:val="009378E4"/>
    <w:pPr>
      <w:spacing w:after="0"/>
      <w:ind w:left="440" w:hanging="440"/>
    </w:pPr>
    <w:rPr>
      <w:b/>
      <w:bCs/>
      <w:sz w:val="20"/>
      <w:szCs w:val="20"/>
    </w:rPr>
  </w:style>
  <w:style w:type="character" w:styleId="Lienhypertexte">
    <w:name w:val="Hyperlink"/>
    <w:basedOn w:val="Policepardfaut"/>
    <w:uiPriority w:val="99"/>
    <w:unhideWhenUsed/>
    <w:rsid w:val="009378E4"/>
    <w:rPr>
      <w:color w:val="0563C1" w:themeColor="hyperlink"/>
      <w:u w:val="single"/>
    </w:rPr>
  </w:style>
  <w:style w:type="paragraph" w:styleId="Paragraphedeliste">
    <w:name w:val="List Paragraph"/>
    <w:basedOn w:val="Normal"/>
    <w:uiPriority w:val="34"/>
    <w:qFormat/>
    <w:rsid w:val="00462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1877">
      <w:bodyDiv w:val="1"/>
      <w:marLeft w:val="0"/>
      <w:marRight w:val="0"/>
      <w:marTop w:val="0"/>
      <w:marBottom w:val="0"/>
      <w:divBdr>
        <w:top w:val="none" w:sz="0" w:space="0" w:color="auto"/>
        <w:left w:val="none" w:sz="0" w:space="0" w:color="auto"/>
        <w:bottom w:val="none" w:sz="0" w:space="0" w:color="auto"/>
        <w:right w:val="none" w:sz="0" w:space="0" w:color="auto"/>
      </w:divBdr>
    </w:div>
    <w:div w:id="205946223">
      <w:bodyDiv w:val="1"/>
      <w:marLeft w:val="0"/>
      <w:marRight w:val="0"/>
      <w:marTop w:val="0"/>
      <w:marBottom w:val="0"/>
      <w:divBdr>
        <w:top w:val="none" w:sz="0" w:space="0" w:color="auto"/>
        <w:left w:val="none" w:sz="0" w:space="0" w:color="auto"/>
        <w:bottom w:val="none" w:sz="0" w:space="0" w:color="auto"/>
        <w:right w:val="none" w:sz="0" w:space="0" w:color="auto"/>
      </w:divBdr>
    </w:div>
    <w:div w:id="270939692">
      <w:bodyDiv w:val="1"/>
      <w:marLeft w:val="0"/>
      <w:marRight w:val="0"/>
      <w:marTop w:val="0"/>
      <w:marBottom w:val="0"/>
      <w:divBdr>
        <w:top w:val="none" w:sz="0" w:space="0" w:color="auto"/>
        <w:left w:val="none" w:sz="0" w:space="0" w:color="auto"/>
        <w:bottom w:val="none" w:sz="0" w:space="0" w:color="auto"/>
        <w:right w:val="none" w:sz="0" w:space="0" w:color="auto"/>
      </w:divBdr>
    </w:div>
    <w:div w:id="378823565">
      <w:bodyDiv w:val="1"/>
      <w:marLeft w:val="0"/>
      <w:marRight w:val="0"/>
      <w:marTop w:val="0"/>
      <w:marBottom w:val="0"/>
      <w:divBdr>
        <w:top w:val="none" w:sz="0" w:space="0" w:color="auto"/>
        <w:left w:val="none" w:sz="0" w:space="0" w:color="auto"/>
        <w:bottom w:val="none" w:sz="0" w:space="0" w:color="auto"/>
        <w:right w:val="none" w:sz="0" w:space="0" w:color="auto"/>
      </w:divBdr>
    </w:div>
    <w:div w:id="392393900">
      <w:bodyDiv w:val="1"/>
      <w:marLeft w:val="0"/>
      <w:marRight w:val="0"/>
      <w:marTop w:val="0"/>
      <w:marBottom w:val="0"/>
      <w:divBdr>
        <w:top w:val="none" w:sz="0" w:space="0" w:color="auto"/>
        <w:left w:val="none" w:sz="0" w:space="0" w:color="auto"/>
        <w:bottom w:val="none" w:sz="0" w:space="0" w:color="auto"/>
        <w:right w:val="none" w:sz="0" w:space="0" w:color="auto"/>
      </w:divBdr>
    </w:div>
    <w:div w:id="423495459">
      <w:bodyDiv w:val="1"/>
      <w:marLeft w:val="0"/>
      <w:marRight w:val="0"/>
      <w:marTop w:val="0"/>
      <w:marBottom w:val="0"/>
      <w:divBdr>
        <w:top w:val="none" w:sz="0" w:space="0" w:color="auto"/>
        <w:left w:val="none" w:sz="0" w:space="0" w:color="auto"/>
        <w:bottom w:val="none" w:sz="0" w:space="0" w:color="auto"/>
        <w:right w:val="none" w:sz="0" w:space="0" w:color="auto"/>
      </w:divBdr>
    </w:div>
    <w:div w:id="478814836">
      <w:bodyDiv w:val="1"/>
      <w:marLeft w:val="0"/>
      <w:marRight w:val="0"/>
      <w:marTop w:val="0"/>
      <w:marBottom w:val="0"/>
      <w:divBdr>
        <w:top w:val="none" w:sz="0" w:space="0" w:color="auto"/>
        <w:left w:val="none" w:sz="0" w:space="0" w:color="auto"/>
        <w:bottom w:val="none" w:sz="0" w:space="0" w:color="auto"/>
        <w:right w:val="none" w:sz="0" w:space="0" w:color="auto"/>
      </w:divBdr>
    </w:div>
    <w:div w:id="501822706">
      <w:bodyDiv w:val="1"/>
      <w:marLeft w:val="0"/>
      <w:marRight w:val="0"/>
      <w:marTop w:val="0"/>
      <w:marBottom w:val="0"/>
      <w:divBdr>
        <w:top w:val="none" w:sz="0" w:space="0" w:color="auto"/>
        <w:left w:val="none" w:sz="0" w:space="0" w:color="auto"/>
        <w:bottom w:val="none" w:sz="0" w:space="0" w:color="auto"/>
        <w:right w:val="none" w:sz="0" w:space="0" w:color="auto"/>
      </w:divBdr>
    </w:div>
    <w:div w:id="580800110">
      <w:bodyDiv w:val="1"/>
      <w:marLeft w:val="0"/>
      <w:marRight w:val="0"/>
      <w:marTop w:val="0"/>
      <w:marBottom w:val="0"/>
      <w:divBdr>
        <w:top w:val="none" w:sz="0" w:space="0" w:color="auto"/>
        <w:left w:val="none" w:sz="0" w:space="0" w:color="auto"/>
        <w:bottom w:val="none" w:sz="0" w:space="0" w:color="auto"/>
        <w:right w:val="none" w:sz="0" w:space="0" w:color="auto"/>
      </w:divBdr>
    </w:div>
    <w:div w:id="581448516">
      <w:bodyDiv w:val="1"/>
      <w:marLeft w:val="0"/>
      <w:marRight w:val="0"/>
      <w:marTop w:val="0"/>
      <w:marBottom w:val="0"/>
      <w:divBdr>
        <w:top w:val="none" w:sz="0" w:space="0" w:color="auto"/>
        <w:left w:val="none" w:sz="0" w:space="0" w:color="auto"/>
        <w:bottom w:val="none" w:sz="0" w:space="0" w:color="auto"/>
        <w:right w:val="none" w:sz="0" w:space="0" w:color="auto"/>
      </w:divBdr>
    </w:div>
    <w:div w:id="736249732">
      <w:bodyDiv w:val="1"/>
      <w:marLeft w:val="0"/>
      <w:marRight w:val="0"/>
      <w:marTop w:val="0"/>
      <w:marBottom w:val="0"/>
      <w:divBdr>
        <w:top w:val="none" w:sz="0" w:space="0" w:color="auto"/>
        <w:left w:val="none" w:sz="0" w:space="0" w:color="auto"/>
        <w:bottom w:val="none" w:sz="0" w:space="0" w:color="auto"/>
        <w:right w:val="none" w:sz="0" w:space="0" w:color="auto"/>
      </w:divBdr>
    </w:div>
    <w:div w:id="833110975">
      <w:bodyDiv w:val="1"/>
      <w:marLeft w:val="0"/>
      <w:marRight w:val="0"/>
      <w:marTop w:val="0"/>
      <w:marBottom w:val="0"/>
      <w:divBdr>
        <w:top w:val="none" w:sz="0" w:space="0" w:color="auto"/>
        <w:left w:val="none" w:sz="0" w:space="0" w:color="auto"/>
        <w:bottom w:val="none" w:sz="0" w:space="0" w:color="auto"/>
        <w:right w:val="none" w:sz="0" w:space="0" w:color="auto"/>
      </w:divBdr>
    </w:div>
    <w:div w:id="886457451">
      <w:bodyDiv w:val="1"/>
      <w:marLeft w:val="0"/>
      <w:marRight w:val="0"/>
      <w:marTop w:val="0"/>
      <w:marBottom w:val="0"/>
      <w:divBdr>
        <w:top w:val="none" w:sz="0" w:space="0" w:color="auto"/>
        <w:left w:val="none" w:sz="0" w:space="0" w:color="auto"/>
        <w:bottom w:val="none" w:sz="0" w:space="0" w:color="auto"/>
        <w:right w:val="none" w:sz="0" w:space="0" w:color="auto"/>
      </w:divBdr>
    </w:div>
    <w:div w:id="1068767793">
      <w:bodyDiv w:val="1"/>
      <w:marLeft w:val="0"/>
      <w:marRight w:val="0"/>
      <w:marTop w:val="0"/>
      <w:marBottom w:val="0"/>
      <w:divBdr>
        <w:top w:val="none" w:sz="0" w:space="0" w:color="auto"/>
        <w:left w:val="none" w:sz="0" w:space="0" w:color="auto"/>
        <w:bottom w:val="none" w:sz="0" w:space="0" w:color="auto"/>
        <w:right w:val="none" w:sz="0" w:space="0" w:color="auto"/>
      </w:divBdr>
    </w:div>
    <w:div w:id="1186678454">
      <w:bodyDiv w:val="1"/>
      <w:marLeft w:val="0"/>
      <w:marRight w:val="0"/>
      <w:marTop w:val="0"/>
      <w:marBottom w:val="0"/>
      <w:divBdr>
        <w:top w:val="none" w:sz="0" w:space="0" w:color="auto"/>
        <w:left w:val="none" w:sz="0" w:space="0" w:color="auto"/>
        <w:bottom w:val="none" w:sz="0" w:space="0" w:color="auto"/>
        <w:right w:val="none" w:sz="0" w:space="0" w:color="auto"/>
      </w:divBdr>
    </w:div>
    <w:div w:id="1200120805">
      <w:bodyDiv w:val="1"/>
      <w:marLeft w:val="0"/>
      <w:marRight w:val="0"/>
      <w:marTop w:val="0"/>
      <w:marBottom w:val="0"/>
      <w:divBdr>
        <w:top w:val="none" w:sz="0" w:space="0" w:color="auto"/>
        <w:left w:val="none" w:sz="0" w:space="0" w:color="auto"/>
        <w:bottom w:val="none" w:sz="0" w:space="0" w:color="auto"/>
        <w:right w:val="none" w:sz="0" w:space="0" w:color="auto"/>
      </w:divBdr>
    </w:div>
    <w:div w:id="1253851780">
      <w:bodyDiv w:val="1"/>
      <w:marLeft w:val="0"/>
      <w:marRight w:val="0"/>
      <w:marTop w:val="0"/>
      <w:marBottom w:val="0"/>
      <w:divBdr>
        <w:top w:val="none" w:sz="0" w:space="0" w:color="auto"/>
        <w:left w:val="none" w:sz="0" w:space="0" w:color="auto"/>
        <w:bottom w:val="none" w:sz="0" w:space="0" w:color="auto"/>
        <w:right w:val="none" w:sz="0" w:space="0" w:color="auto"/>
      </w:divBdr>
    </w:div>
    <w:div w:id="1370958726">
      <w:bodyDiv w:val="1"/>
      <w:marLeft w:val="0"/>
      <w:marRight w:val="0"/>
      <w:marTop w:val="0"/>
      <w:marBottom w:val="0"/>
      <w:divBdr>
        <w:top w:val="none" w:sz="0" w:space="0" w:color="auto"/>
        <w:left w:val="none" w:sz="0" w:space="0" w:color="auto"/>
        <w:bottom w:val="none" w:sz="0" w:space="0" w:color="auto"/>
        <w:right w:val="none" w:sz="0" w:space="0" w:color="auto"/>
      </w:divBdr>
    </w:div>
    <w:div w:id="1458186307">
      <w:bodyDiv w:val="1"/>
      <w:marLeft w:val="0"/>
      <w:marRight w:val="0"/>
      <w:marTop w:val="0"/>
      <w:marBottom w:val="0"/>
      <w:divBdr>
        <w:top w:val="none" w:sz="0" w:space="0" w:color="auto"/>
        <w:left w:val="none" w:sz="0" w:space="0" w:color="auto"/>
        <w:bottom w:val="none" w:sz="0" w:space="0" w:color="auto"/>
        <w:right w:val="none" w:sz="0" w:space="0" w:color="auto"/>
      </w:divBdr>
    </w:div>
    <w:div w:id="1475178930">
      <w:bodyDiv w:val="1"/>
      <w:marLeft w:val="0"/>
      <w:marRight w:val="0"/>
      <w:marTop w:val="0"/>
      <w:marBottom w:val="0"/>
      <w:divBdr>
        <w:top w:val="none" w:sz="0" w:space="0" w:color="auto"/>
        <w:left w:val="none" w:sz="0" w:space="0" w:color="auto"/>
        <w:bottom w:val="none" w:sz="0" w:space="0" w:color="auto"/>
        <w:right w:val="none" w:sz="0" w:space="0" w:color="auto"/>
      </w:divBdr>
    </w:div>
    <w:div w:id="1610697065">
      <w:bodyDiv w:val="1"/>
      <w:marLeft w:val="0"/>
      <w:marRight w:val="0"/>
      <w:marTop w:val="0"/>
      <w:marBottom w:val="0"/>
      <w:divBdr>
        <w:top w:val="none" w:sz="0" w:space="0" w:color="auto"/>
        <w:left w:val="none" w:sz="0" w:space="0" w:color="auto"/>
        <w:bottom w:val="none" w:sz="0" w:space="0" w:color="auto"/>
        <w:right w:val="none" w:sz="0" w:space="0" w:color="auto"/>
      </w:divBdr>
    </w:div>
    <w:div w:id="1617247949">
      <w:bodyDiv w:val="1"/>
      <w:marLeft w:val="0"/>
      <w:marRight w:val="0"/>
      <w:marTop w:val="0"/>
      <w:marBottom w:val="0"/>
      <w:divBdr>
        <w:top w:val="none" w:sz="0" w:space="0" w:color="auto"/>
        <w:left w:val="none" w:sz="0" w:space="0" w:color="auto"/>
        <w:bottom w:val="none" w:sz="0" w:space="0" w:color="auto"/>
        <w:right w:val="none" w:sz="0" w:space="0" w:color="auto"/>
      </w:divBdr>
    </w:div>
    <w:div w:id="1631983170">
      <w:bodyDiv w:val="1"/>
      <w:marLeft w:val="0"/>
      <w:marRight w:val="0"/>
      <w:marTop w:val="0"/>
      <w:marBottom w:val="0"/>
      <w:divBdr>
        <w:top w:val="none" w:sz="0" w:space="0" w:color="auto"/>
        <w:left w:val="none" w:sz="0" w:space="0" w:color="auto"/>
        <w:bottom w:val="none" w:sz="0" w:space="0" w:color="auto"/>
        <w:right w:val="none" w:sz="0" w:space="0" w:color="auto"/>
      </w:divBdr>
    </w:div>
    <w:div w:id="1666469720">
      <w:bodyDiv w:val="1"/>
      <w:marLeft w:val="0"/>
      <w:marRight w:val="0"/>
      <w:marTop w:val="0"/>
      <w:marBottom w:val="0"/>
      <w:divBdr>
        <w:top w:val="none" w:sz="0" w:space="0" w:color="auto"/>
        <w:left w:val="none" w:sz="0" w:space="0" w:color="auto"/>
        <w:bottom w:val="none" w:sz="0" w:space="0" w:color="auto"/>
        <w:right w:val="none" w:sz="0" w:space="0" w:color="auto"/>
      </w:divBdr>
    </w:div>
    <w:div w:id="1744326765">
      <w:bodyDiv w:val="1"/>
      <w:marLeft w:val="0"/>
      <w:marRight w:val="0"/>
      <w:marTop w:val="0"/>
      <w:marBottom w:val="0"/>
      <w:divBdr>
        <w:top w:val="none" w:sz="0" w:space="0" w:color="auto"/>
        <w:left w:val="none" w:sz="0" w:space="0" w:color="auto"/>
        <w:bottom w:val="none" w:sz="0" w:space="0" w:color="auto"/>
        <w:right w:val="none" w:sz="0" w:space="0" w:color="auto"/>
      </w:divBdr>
    </w:div>
    <w:div w:id="1756978960">
      <w:bodyDiv w:val="1"/>
      <w:marLeft w:val="0"/>
      <w:marRight w:val="0"/>
      <w:marTop w:val="0"/>
      <w:marBottom w:val="0"/>
      <w:divBdr>
        <w:top w:val="none" w:sz="0" w:space="0" w:color="auto"/>
        <w:left w:val="none" w:sz="0" w:space="0" w:color="auto"/>
        <w:bottom w:val="none" w:sz="0" w:space="0" w:color="auto"/>
        <w:right w:val="none" w:sz="0" w:space="0" w:color="auto"/>
      </w:divBdr>
    </w:div>
    <w:div w:id="1767117708">
      <w:bodyDiv w:val="1"/>
      <w:marLeft w:val="0"/>
      <w:marRight w:val="0"/>
      <w:marTop w:val="0"/>
      <w:marBottom w:val="0"/>
      <w:divBdr>
        <w:top w:val="none" w:sz="0" w:space="0" w:color="auto"/>
        <w:left w:val="none" w:sz="0" w:space="0" w:color="auto"/>
        <w:bottom w:val="none" w:sz="0" w:space="0" w:color="auto"/>
        <w:right w:val="none" w:sz="0" w:space="0" w:color="auto"/>
      </w:divBdr>
    </w:div>
    <w:div w:id="1862429555">
      <w:bodyDiv w:val="1"/>
      <w:marLeft w:val="0"/>
      <w:marRight w:val="0"/>
      <w:marTop w:val="0"/>
      <w:marBottom w:val="0"/>
      <w:divBdr>
        <w:top w:val="none" w:sz="0" w:space="0" w:color="auto"/>
        <w:left w:val="none" w:sz="0" w:space="0" w:color="auto"/>
        <w:bottom w:val="none" w:sz="0" w:space="0" w:color="auto"/>
        <w:right w:val="none" w:sz="0" w:space="0" w:color="auto"/>
      </w:divBdr>
    </w:div>
    <w:div w:id="1867593931">
      <w:bodyDiv w:val="1"/>
      <w:marLeft w:val="0"/>
      <w:marRight w:val="0"/>
      <w:marTop w:val="0"/>
      <w:marBottom w:val="0"/>
      <w:divBdr>
        <w:top w:val="none" w:sz="0" w:space="0" w:color="auto"/>
        <w:left w:val="none" w:sz="0" w:space="0" w:color="auto"/>
        <w:bottom w:val="none" w:sz="0" w:space="0" w:color="auto"/>
        <w:right w:val="none" w:sz="0" w:space="0" w:color="auto"/>
      </w:divBdr>
    </w:div>
    <w:div w:id="1906792466">
      <w:bodyDiv w:val="1"/>
      <w:marLeft w:val="0"/>
      <w:marRight w:val="0"/>
      <w:marTop w:val="0"/>
      <w:marBottom w:val="0"/>
      <w:divBdr>
        <w:top w:val="none" w:sz="0" w:space="0" w:color="auto"/>
        <w:left w:val="none" w:sz="0" w:space="0" w:color="auto"/>
        <w:bottom w:val="none" w:sz="0" w:space="0" w:color="auto"/>
        <w:right w:val="none" w:sz="0" w:space="0" w:color="auto"/>
      </w:divBdr>
    </w:div>
    <w:div w:id="1957520379">
      <w:bodyDiv w:val="1"/>
      <w:marLeft w:val="0"/>
      <w:marRight w:val="0"/>
      <w:marTop w:val="0"/>
      <w:marBottom w:val="0"/>
      <w:divBdr>
        <w:top w:val="none" w:sz="0" w:space="0" w:color="auto"/>
        <w:left w:val="none" w:sz="0" w:space="0" w:color="auto"/>
        <w:bottom w:val="none" w:sz="0" w:space="0" w:color="auto"/>
        <w:right w:val="none" w:sz="0" w:space="0" w:color="auto"/>
      </w:divBdr>
    </w:div>
    <w:div w:id="2015572938">
      <w:bodyDiv w:val="1"/>
      <w:marLeft w:val="0"/>
      <w:marRight w:val="0"/>
      <w:marTop w:val="0"/>
      <w:marBottom w:val="0"/>
      <w:divBdr>
        <w:top w:val="none" w:sz="0" w:space="0" w:color="auto"/>
        <w:left w:val="none" w:sz="0" w:space="0" w:color="auto"/>
        <w:bottom w:val="none" w:sz="0" w:space="0" w:color="auto"/>
        <w:right w:val="none" w:sz="0" w:space="0" w:color="auto"/>
      </w:divBdr>
    </w:div>
    <w:div w:id="203734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4CEAB-A74B-4A44-AD76-69C80E9CA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1978</Words>
  <Characters>11276</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Le</dc:creator>
  <cp:keywords/>
  <dc:description/>
  <cp:lastModifiedBy>michel jan</cp:lastModifiedBy>
  <cp:revision>2</cp:revision>
  <dcterms:created xsi:type="dcterms:W3CDTF">2019-11-04T14:06:00Z</dcterms:created>
  <dcterms:modified xsi:type="dcterms:W3CDTF">2019-11-04T14:06:00Z</dcterms:modified>
</cp:coreProperties>
</file>