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DCE52A" w14:textId="77777777" w:rsidR="00A21209" w:rsidRDefault="00A21209" w:rsidP="00A21209">
      <w:pPr>
        <w:pStyle w:val="TableofFigures"/>
        <w:tabs>
          <w:tab w:val="right" w:pos="12946"/>
        </w:tabs>
        <w:jc w:val="center"/>
        <w:rPr>
          <w:sz w:val="32"/>
          <w:u w:val="single"/>
          <w:lang w:val="fr-CA"/>
        </w:rPr>
      </w:pPr>
      <w:bookmarkStart w:id="0" w:name="_GoBack"/>
      <w:bookmarkEnd w:id="0"/>
      <w:r w:rsidRPr="00A21209">
        <w:rPr>
          <w:sz w:val="32"/>
          <w:u w:val="single"/>
          <w:lang w:val="fr-CA"/>
        </w:rPr>
        <w:t>Rapport de 2015 sur le rendement du système de lutte contre le cancer</w:t>
      </w:r>
    </w:p>
    <w:p w14:paraId="48504550" w14:textId="77777777" w:rsidR="00A21209" w:rsidRDefault="00A21209" w:rsidP="00A21209">
      <w:pPr>
        <w:rPr>
          <w:u w:val="single"/>
          <w:lang w:val="fr-CA"/>
        </w:rPr>
      </w:pPr>
    </w:p>
    <w:p w14:paraId="4A7FEBB9" w14:textId="77777777" w:rsidR="00A21209" w:rsidRPr="00A21209" w:rsidRDefault="00A21209" w:rsidP="00A21209">
      <w:pPr>
        <w:rPr>
          <w:u w:val="single"/>
          <w:lang w:val="fr-CA"/>
        </w:rPr>
      </w:pPr>
      <w:r w:rsidRPr="00462312">
        <w:rPr>
          <w:u w:val="single"/>
          <w:lang w:val="fr-CA"/>
        </w:rPr>
        <w:t>Appuyer sur Ctrl, puis cliquer sur un titre ci-dessous pour suivre le lien hypertexte.</w:t>
      </w:r>
    </w:p>
    <w:p w14:paraId="2882F3FF" w14:textId="77777777" w:rsidR="006B5D30" w:rsidRPr="00A21209" w:rsidRDefault="003C4C8E" w:rsidP="00A21209">
      <w:pPr>
        <w:pStyle w:val="TableofFigures"/>
        <w:numPr>
          <w:ilvl w:val="0"/>
          <w:numId w:val="1"/>
        </w:numPr>
        <w:tabs>
          <w:tab w:val="right" w:pos="12946"/>
        </w:tabs>
        <w:rPr>
          <w:rFonts w:eastAsiaTheme="minorEastAsia"/>
          <w:b w:val="0"/>
          <w:bCs w:val="0"/>
          <w:noProof/>
          <w:sz w:val="22"/>
          <w:szCs w:val="22"/>
          <w:lang w:val="en-US"/>
        </w:rPr>
      </w:pPr>
      <w:r w:rsidRPr="00A21209">
        <w:rPr>
          <w:sz w:val="22"/>
          <w:szCs w:val="22"/>
          <w:lang w:val="fr-CA"/>
        </w:rPr>
        <w:fldChar w:fldCharType="begin"/>
      </w:r>
      <w:r w:rsidR="00113C3A" w:rsidRPr="00A21209">
        <w:rPr>
          <w:sz w:val="22"/>
          <w:szCs w:val="22"/>
          <w:lang w:val="fr-CA"/>
        </w:rPr>
        <w:instrText xml:space="preserve"> TOC \h \z \t "Heading 1" \c </w:instrText>
      </w:r>
      <w:r w:rsidRPr="00A21209">
        <w:rPr>
          <w:sz w:val="22"/>
          <w:szCs w:val="22"/>
          <w:lang w:val="fr-CA"/>
        </w:rPr>
        <w:fldChar w:fldCharType="separate"/>
      </w:r>
      <w:hyperlink w:anchor="_Toc437589642" w:history="1">
        <w:r w:rsidR="006B5D30" w:rsidRPr="00A21209">
          <w:rPr>
            <w:rStyle w:val="Hyperlink"/>
            <w:noProof/>
            <w:sz w:val="22"/>
            <w:szCs w:val="22"/>
            <w:lang w:val="fr-CA"/>
          </w:rPr>
          <w:t xml:space="preserve">Figure 1.1 </w:t>
        </w:r>
        <w:r w:rsidR="006B5D30" w:rsidRPr="00A21209">
          <w:rPr>
            <w:rStyle w:val="Hyperlink"/>
            <w:noProof/>
            <w:sz w:val="22"/>
            <w:szCs w:val="22"/>
          </w:rPr>
          <w:t>Pourcentage</w:t>
        </w:r>
        <w:r w:rsidR="006B5D30" w:rsidRPr="00A21209">
          <w:rPr>
            <w:rStyle w:val="Hyperlink"/>
            <w:noProof/>
            <w:sz w:val="22"/>
            <w:szCs w:val="22"/>
            <w:lang w:val="fr-CA"/>
          </w:rPr>
          <w:t xml:space="preserve"> de la population (≥ 12 ans) déclarant fumer tous les jours ou à l'occasion selon la province ou le territoire – déclaration faite en 2013</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_Toc437589642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5</w:t>
        </w:r>
        <w:r w:rsidR="006B5D30" w:rsidRPr="00A21209">
          <w:rPr>
            <w:noProof/>
            <w:webHidden/>
            <w:sz w:val="22"/>
            <w:szCs w:val="22"/>
          </w:rPr>
          <w:fldChar w:fldCharType="end"/>
        </w:r>
      </w:hyperlink>
    </w:p>
    <w:p w14:paraId="42D744AB"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43" w:history="1">
        <w:r w:rsidR="006B5D30" w:rsidRPr="00A21209">
          <w:rPr>
            <w:rStyle w:val="Hyperlink"/>
            <w:noProof/>
            <w:sz w:val="22"/>
            <w:szCs w:val="22"/>
            <w:lang w:val="fr-CA"/>
          </w:rPr>
          <w:t>Figure 1.2 Pourcentage de la population (≥ 12 ans) selon les habitudes de tabagisme et le sexe, Canada – déclaration faite en 2013</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_Toc437589643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6</w:t>
        </w:r>
        <w:r w:rsidR="006B5D30" w:rsidRPr="00A21209">
          <w:rPr>
            <w:noProof/>
            <w:webHidden/>
            <w:sz w:val="22"/>
            <w:szCs w:val="22"/>
          </w:rPr>
          <w:fldChar w:fldCharType="end"/>
        </w:r>
      </w:hyperlink>
    </w:p>
    <w:p w14:paraId="57723574"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44" w:history="1">
        <w:r w:rsidR="006B5D30" w:rsidRPr="00A21209">
          <w:rPr>
            <w:rStyle w:val="Hyperlink"/>
            <w:noProof/>
            <w:sz w:val="22"/>
            <w:szCs w:val="22"/>
            <w:lang w:val="fr-CA"/>
          </w:rPr>
          <w:t xml:space="preserve">Figure 1.i </w:t>
        </w:r>
        <w:r w:rsidR="006B5D30" w:rsidRPr="00A21209">
          <w:rPr>
            <w:rStyle w:val="Hyperlink"/>
            <w:rFonts w:eastAsia="Times New Roman"/>
            <w:noProof/>
            <w:sz w:val="22"/>
            <w:szCs w:val="22"/>
            <w:lang w:val="fr-CA" w:eastAsia="en-CA"/>
          </w:rPr>
          <w:t>Pourcentage des adultes (≥ 18 ans) ayant déclaré avoir utilisé le transport actif au cours des trois mois précédents, selon la province ou le territoire – déclaration faite en 2013</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_Toc437589644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7</w:t>
        </w:r>
        <w:r w:rsidR="006B5D30" w:rsidRPr="00A21209">
          <w:rPr>
            <w:noProof/>
            <w:webHidden/>
            <w:sz w:val="22"/>
            <w:szCs w:val="22"/>
          </w:rPr>
          <w:fldChar w:fldCharType="end"/>
        </w:r>
      </w:hyperlink>
    </w:p>
    <w:p w14:paraId="53797B1B"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45" w:history="1">
        <w:r w:rsidR="006B5D30" w:rsidRPr="00A21209">
          <w:rPr>
            <w:rStyle w:val="Hyperlink"/>
            <w:noProof/>
            <w:sz w:val="22"/>
            <w:szCs w:val="22"/>
            <w:lang w:val="fr-CA"/>
          </w:rPr>
          <w:t xml:space="preserve">Figure 1.ii </w:t>
        </w:r>
        <w:r w:rsidR="006B5D30" w:rsidRPr="00A21209">
          <w:rPr>
            <w:rStyle w:val="Hyperlink"/>
            <w:rFonts w:eastAsia="Times New Roman"/>
            <w:noProof/>
            <w:sz w:val="22"/>
            <w:szCs w:val="22"/>
            <w:lang w:val="fr-CA" w:eastAsia="en-CA"/>
          </w:rPr>
          <w:t>Pourcentage de la population ayant déclaré avoir utilisé le transport actif au cours des trois mois précédents, selon le groupe d'âge – déclaration faite en 2013</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_Toc437589645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8</w:t>
        </w:r>
        <w:r w:rsidR="006B5D30" w:rsidRPr="00A21209">
          <w:rPr>
            <w:noProof/>
            <w:webHidden/>
            <w:sz w:val="22"/>
            <w:szCs w:val="22"/>
          </w:rPr>
          <w:fldChar w:fldCharType="end"/>
        </w:r>
      </w:hyperlink>
    </w:p>
    <w:p w14:paraId="76749E16"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46" w:history="1">
        <w:r w:rsidR="006B5D30" w:rsidRPr="00A21209">
          <w:rPr>
            <w:rStyle w:val="Hyperlink"/>
            <w:noProof/>
            <w:sz w:val="22"/>
            <w:szCs w:val="22"/>
            <w:lang w:val="fr-CA"/>
          </w:rPr>
          <w:t xml:space="preserve">Figure 2.1 </w:t>
        </w:r>
        <w:r w:rsidR="006B5D30" w:rsidRPr="00A21209">
          <w:rPr>
            <w:rStyle w:val="Hyperlink"/>
            <w:rFonts w:eastAsia="Times New Roman"/>
            <w:noProof/>
            <w:sz w:val="22"/>
            <w:szCs w:val="22"/>
            <w:lang w:val="fr-CA" w:eastAsia="en-CA"/>
          </w:rPr>
          <w:t>Pourcentage† des femmes (de 18 à 69 ans) déclarant avoir subi au moins un test Pap au cours des trois dernières années, selon la province ou le territoire - déclaration faite en 2012 et 2013</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_Toc437589646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9</w:t>
        </w:r>
        <w:r w:rsidR="006B5D30" w:rsidRPr="00A21209">
          <w:rPr>
            <w:noProof/>
            <w:webHidden/>
            <w:sz w:val="22"/>
            <w:szCs w:val="22"/>
          </w:rPr>
          <w:fldChar w:fldCharType="end"/>
        </w:r>
      </w:hyperlink>
    </w:p>
    <w:p w14:paraId="72E1A5AE"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47" w:history="1">
        <w:r w:rsidR="006B5D30" w:rsidRPr="00A21209">
          <w:rPr>
            <w:rStyle w:val="Hyperlink"/>
            <w:noProof/>
            <w:sz w:val="22"/>
            <w:szCs w:val="22"/>
            <w:lang w:val="fr-CA"/>
          </w:rPr>
          <w:t xml:space="preserve">Figure 2.2 </w:t>
        </w:r>
        <w:r w:rsidR="006B5D30" w:rsidRPr="00A21209">
          <w:rPr>
            <w:rStyle w:val="Hyperlink"/>
            <w:rFonts w:eastAsia="Times New Roman"/>
            <w:noProof/>
            <w:sz w:val="22"/>
            <w:szCs w:val="22"/>
            <w:lang w:val="fr-CA" w:eastAsia="en-CA"/>
          </w:rPr>
          <w:t>Pourcentage des femmes admissibles† (de 50 à 69 ans) déclarant avoir subi une mammographie de dépistage†† au cours des deux dernières années, selon la province ou le territoire – déclaration faite en 2012 et 2013</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_Toc437589647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10</w:t>
        </w:r>
        <w:r w:rsidR="006B5D30" w:rsidRPr="00A21209">
          <w:rPr>
            <w:noProof/>
            <w:webHidden/>
            <w:sz w:val="22"/>
            <w:szCs w:val="22"/>
          </w:rPr>
          <w:fldChar w:fldCharType="end"/>
        </w:r>
      </w:hyperlink>
    </w:p>
    <w:p w14:paraId="559DEF6F"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48" w:history="1">
        <w:r w:rsidR="006B5D30" w:rsidRPr="00A21209">
          <w:rPr>
            <w:rStyle w:val="Hyperlink"/>
            <w:noProof/>
            <w:sz w:val="22"/>
            <w:szCs w:val="22"/>
            <w:lang w:val="fr-CA"/>
          </w:rPr>
          <w:t xml:space="preserve">Figure 2.3 </w:t>
        </w:r>
        <w:r w:rsidR="006B5D30" w:rsidRPr="00A21209">
          <w:rPr>
            <w:rStyle w:val="Hyperlink"/>
            <w:rFonts w:eastAsia="Times New Roman"/>
            <w:noProof/>
            <w:sz w:val="22"/>
            <w:szCs w:val="22"/>
            <w:lang w:val="fr-CA" w:eastAsia="en-CA"/>
          </w:rPr>
          <w:t>Pourcentage de la population (de 50 à 74 ans) déclarant avoir subi un test de dépistage</w:t>
        </w:r>
        <w:r w:rsidR="006B5D30" w:rsidRPr="00A21209">
          <w:rPr>
            <w:rStyle w:val="Hyperlink"/>
            <w:rFonts w:eastAsia="Times New Roman"/>
            <w:noProof/>
            <w:sz w:val="22"/>
            <w:szCs w:val="22"/>
            <w:lang w:eastAsia="en-CA"/>
          </w:rPr>
          <w:t>ᶧ</w:t>
        </w:r>
        <w:r w:rsidR="006B5D30" w:rsidRPr="00A21209">
          <w:rPr>
            <w:rStyle w:val="Hyperlink"/>
            <w:rFonts w:eastAsia="Times New Roman"/>
            <w:noProof/>
            <w:sz w:val="22"/>
            <w:szCs w:val="22"/>
            <w:lang w:val="fr-CA" w:eastAsia="en-CA"/>
          </w:rPr>
          <w:t xml:space="preserve"> de sang dans les selles au cours des deux dernières année ou une sigmoïdoscopie/coloscopie de dépistage</w:t>
        </w:r>
        <w:r w:rsidR="006B5D30" w:rsidRPr="00A21209">
          <w:rPr>
            <w:rStyle w:val="Hyperlink"/>
            <w:rFonts w:eastAsia="Times New Roman"/>
            <w:noProof/>
            <w:sz w:val="22"/>
            <w:szCs w:val="22"/>
            <w:lang w:eastAsia="en-CA"/>
          </w:rPr>
          <w:t>ᶧ</w:t>
        </w:r>
        <w:r w:rsidR="006B5D30" w:rsidRPr="00A21209">
          <w:rPr>
            <w:rStyle w:val="Hyperlink"/>
            <w:rFonts w:eastAsia="Times New Roman"/>
            <w:noProof/>
            <w:sz w:val="22"/>
            <w:szCs w:val="22"/>
            <w:lang w:val="fr-CA" w:eastAsia="en-CA"/>
          </w:rPr>
          <w:t xml:space="preserve"> au cours des cinq dernières années, selon la province ou le territoire - déclaration faite en 2012 et 2013</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_Toc437589648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11</w:t>
        </w:r>
        <w:r w:rsidR="006B5D30" w:rsidRPr="00A21209">
          <w:rPr>
            <w:noProof/>
            <w:webHidden/>
            <w:sz w:val="22"/>
            <w:szCs w:val="22"/>
          </w:rPr>
          <w:fldChar w:fldCharType="end"/>
        </w:r>
      </w:hyperlink>
    </w:p>
    <w:p w14:paraId="26F74C78"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49" w:history="1">
        <w:r w:rsidR="006B5D30" w:rsidRPr="00A21209">
          <w:rPr>
            <w:rStyle w:val="Hyperlink"/>
            <w:noProof/>
            <w:sz w:val="22"/>
            <w:szCs w:val="22"/>
            <w:lang w:val="fr-CA"/>
          </w:rPr>
          <w:t xml:space="preserve">Figure 2.4 </w:t>
        </w:r>
        <w:r w:rsidR="006B5D30" w:rsidRPr="00A21209">
          <w:rPr>
            <w:rStyle w:val="Hyperlink"/>
            <w:rFonts w:eastAsia="Times New Roman"/>
            <w:noProof/>
            <w:sz w:val="22"/>
            <w:szCs w:val="22"/>
            <w:lang w:val="fr-CA" w:eastAsia="en-CA"/>
          </w:rPr>
          <w:t>Pourcentage de la population (de 50 à 74 ans) déclarant avoir subi un test de dépistage</w:t>
        </w:r>
        <w:r w:rsidR="006B5D30" w:rsidRPr="00A21209">
          <w:rPr>
            <w:rStyle w:val="Hyperlink"/>
            <w:rFonts w:eastAsia="Times New Roman"/>
            <w:noProof/>
            <w:sz w:val="22"/>
            <w:szCs w:val="22"/>
            <w:lang w:eastAsia="en-CA"/>
          </w:rPr>
          <w:t>ᶧ</w:t>
        </w:r>
        <w:r w:rsidR="006B5D30" w:rsidRPr="00A21209">
          <w:rPr>
            <w:rStyle w:val="Hyperlink"/>
            <w:rFonts w:eastAsia="Times New Roman"/>
            <w:noProof/>
            <w:sz w:val="22"/>
            <w:szCs w:val="22"/>
            <w:lang w:val="fr-CA" w:eastAsia="en-CA"/>
          </w:rPr>
          <w:t xml:space="preserve"> de sang dans les selles au cours des deux dernières années, selon la province ou le territoire - déclaration faite en 2012 et 2013</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_Toc437589649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12</w:t>
        </w:r>
        <w:r w:rsidR="006B5D30" w:rsidRPr="00A21209">
          <w:rPr>
            <w:noProof/>
            <w:webHidden/>
            <w:sz w:val="22"/>
            <w:szCs w:val="22"/>
          </w:rPr>
          <w:fldChar w:fldCharType="end"/>
        </w:r>
      </w:hyperlink>
    </w:p>
    <w:p w14:paraId="783D5495"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50" w:history="1">
        <w:r w:rsidR="006B5D30" w:rsidRPr="00A21209">
          <w:rPr>
            <w:rStyle w:val="Hyperlink"/>
            <w:noProof/>
            <w:sz w:val="22"/>
            <w:szCs w:val="22"/>
            <w:lang w:val="fr-CA"/>
          </w:rPr>
          <w:t xml:space="preserve">Figure 2.5 </w:t>
        </w:r>
        <w:r w:rsidR="006B5D30" w:rsidRPr="00A21209">
          <w:rPr>
            <w:rStyle w:val="Hyperlink"/>
            <w:rFonts w:eastAsia="Times New Roman"/>
            <w:noProof/>
            <w:sz w:val="22"/>
            <w:szCs w:val="22"/>
            <w:lang w:val="fr-CA" w:eastAsia="en-CA"/>
          </w:rPr>
          <w:t>Pourcentage de la population (de 50 à 74 ans) déclarant avoir subi une sigmoïdoscopie/coloscopie de dépistage</w:t>
        </w:r>
        <w:r w:rsidR="006B5D30" w:rsidRPr="00A21209">
          <w:rPr>
            <w:rStyle w:val="Hyperlink"/>
            <w:rFonts w:eastAsia="Times New Roman"/>
            <w:noProof/>
            <w:sz w:val="22"/>
            <w:szCs w:val="22"/>
            <w:lang w:eastAsia="en-CA"/>
          </w:rPr>
          <w:t>ᶧ</w:t>
        </w:r>
        <w:r w:rsidR="006B5D30" w:rsidRPr="00A21209">
          <w:rPr>
            <w:rStyle w:val="Hyperlink"/>
            <w:rFonts w:eastAsia="Times New Roman"/>
            <w:noProof/>
            <w:sz w:val="22"/>
            <w:szCs w:val="22"/>
            <w:lang w:val="fr-CA" w:eastAsia="en-CA"/>
          </w:rPr>
          <w:t xml:space="preserve"> au cours des cinq dernières années, selon la province ou le territoire - déclaration faite en 2012 et 2013</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_Toc437589650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13</w:t>
        </w:r>
        <w:r w:rsidR="006B5D30" w:rsidRPr="00A21209">
          <w:rPr>
            <w:noProof/>
            <w:webHidden/>
            <w:sz w:val="22"/>
            <w:szCs w:val="22"/>
          </w:rPr>
          <w:fldChar w:fldCharType="end"/>
        </w:r>
      </w:hyperlink>
    </w:p>
    <w:p w14:paraId="63E2D2C9"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51" w:history="1">
        <w:r w:rsidR="006B5D30" w:rsidRPr="00A21209">
          <w:rPr>
            <w:rStyle w:val="Hyperlink"/>
            <w:noProof/>
            <w:sz w:val="22"/>
            <w:szCs w:val="22"/>
            <w:lang w:val="fr-CA"/>
          </w:rPr>
          <w:t xml:space="preserve">Figure 2.6 </w:t>
        </w:r>
        <w:r w:rsidR="006B5D30" w:rsidRPr="00A21209">
          <w:rPr>
            <w:rStyle w:val="Hyperlink"/>
            <w:rFonts w:eastAsia="Times New Roman"/>
            <w:noProof/>
            <w:sz w:val="22"/>
            <w:szCs w:val="22"/>
            <w:lang w:val="fr-CA" w:eastAsia="en-CA"/>
          </w:rPr>
          <w:t>Pourcentage de la population (de 50 à 74 ans) déclarant avoir subi un test de dépistage de sang dans les selles</w:t>
        </w:r>
        <w:r w:rsidR="006B5D30" w:rsidRPr="00A21209">
          <w:rPr>
            <w:rStyle w:val="Hyperlink"/>
            <w:rFonts w:eastAsia="Times New Roman"/>
            <w:noProof/>
            <w:sz w:val="22"/>
            <w:szCs w:val="22"/>
            <w:lang w:eastAsia="en-CA"/>
          </w:rPr>
          <w:t>ᶧ</w:t>
        </w:r>
        <w:r w:rsidR="006B5D30" w:rsidRPr="00A21209">
          <w:rPr>
            <w:rStyle w:val="Hyperlink"/>
            <w:rFonts w:eastAsia="Times New Roman"/>
            <w:noProof/>
            <w:sz w:val="22"/>
            <w:szCs w:val="22"/>
            <w:lang w:val="fr-CA" w:eastAsia="en-CA"/>
          </w:rPr>
          <w:t xml:space="preserve"> au cours des deux dernières années ou une sigmoïdoscopie/coloscopie de dépistage</w:t>
        </w:r>
        <w:r w:rsidR="006B5D30" w:rsidRPr="00A21209">
          <w:rPr>
            <w:rStyle w:val="Hyperlink"/>
            <w:rFonts w:eastAsia="Times New Roman"/>
            <w:noProof/>
            <w:sz w:val="22"/>
            <w:szCs w:val="22"/>
            <w:lang w:eastAsia="en-CA"/>
          </w:rPr>
          <w:t>ᶧ</w:t>
        </w:r>
        <w:r w:rsidR="006B5D30" w:rsidRPr="00A21209">
          <w:rPr>
            <w:rStyle w:val="Hyperlink"/>
            <w:rFonts w:eastAsia="Times New Roman"/>
            <w:noProof/>
            <w:sz w:val="22"/>
            <w:szCs w:val="22"/>
            <w:lang w:val="fr-CA" w:eastAsia="en-CA"/>
          </w:rPr>
          <w:t xml:space="preserve"> au cours des cinq dernières années, selon le groupe d'âge et le sexe - déclaration faite en 2013</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_Toc437589651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14</w:t>
        </w:r>
        <w:r w:rsidR="006B5D30" w:rsidRPr="00A21209">
          <w:rPr>
            <w:noProof/>
            <w:webHidden/>
            <w:sz w:val="22"/>
            <w:szCs w:val="22"/>
          </w:rPr>
          <w:fldChar w:fldCharType="end"/>
        </w:r>
      </w:hyperlink>
    </w:p>
    <w:p w14:paraId="0FBD5033"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52" w:history="1">
        <w:r w:rsidR="006B5D30" w:rsidRPr="00A21209">
          <w:rPr>
            <w:rStyle w:val="Hyperlink"/>
            <w:noProof/>
            <w:sz w:val="22"/>
            <w:szCs w:val="22"/>
            <w:lang w:val="fr-CA"/>
          </w:rPr>
          <w:t xml:space="preserve">Figure 2.i </w:t>
        </w:r>
        <w:r w:rsidR="006B5D30" w:rsidRPr="00A21209">
          <w:rPr>
            <w:rStyle w:val="Hyperlink"/>
            <w:rFonts w:eastAsia="Times New Roman"/>
            <w:noProof/>
            <w:sz w:val="22"/>
            <w:szCs w:val="22"/>
            <w:lang w:val="fr-CA" w:eastAsia="en-CA"/>
          </w:rPr>
          <w:t>Pourcentage des femmes</w:t>
        </w:r>
        <w:r w:rsidR="006B5D30" w:rsidRPr="00A21209">
          <w:rPr>
            <w:rStyle w:val="Hyperlink"/>
            <w:rFonts w:eastAsia="Times New Roman"/>
            <w:noProof/>
            <w:sz w:val="22"/>
            <w:szCs w:val="22"/>
            <w:vertAlign w:val="superscript"/>
            <w:lang w:val="fr-CA" w:eastAsia="en-CA"/>
          </w:rPr>
          <w:t>†</w:t>
        </w:r>
        <w:r w:rsidR="006B5D30" w:rsidRPr="00A21209">
          <w:rPr>
            <w:rStyle w:val="Hyperlink"/>
            <w:rFonts w:eastAsia="Times New Roman"/>
            <w:noProof/>
            <w:sz w:val="22"/>
            <w:szCs w:val="22"/>
            <w:lang w:val="fr-CA" w:eastAsia="en-CA"/>
          </w:rPr>
          <w:t xml:space="preserve"> (de 21 à 69 ans) déclarant avoir subi au moins un test Pap</w:t>
        </w:r>
        <w:r w:rsidR="006B5D30" w:rsidRPr="00A21209">
          <w:rPr>
            <w:rStyle w:val="Hyperlink"/>
            <w:rFonts w:eastAsia="Times New Roman"/>
            <w:noProof/>
            <w:sz w:val="22"/>
            <w:szCs w:val="22"/>
            <w:vertAlign w:val="superscript"/>
            <w:lang w:val="fr-CA" w:eastAsia="en-CA"/>
          </w:rPr>
          <w:t>††</w:t>
        </w:r>
        <w:r w:rsidR="006B5D30" w:rsidRPr="00A21209">
          <w:rPr>
            <w:rStyle w:val="Hyperlink"/>
            <w:rFonts w:eastAsia="Times New Roman"/>
            <w:noProof/>
            <w:sz w:val="22"/>
            <w:szCs w:val="22"/>
            <w:lang w:val="fr-CA" w:eastAsia="en-CA"/>
          </w:rPr>
          <w:t xml:space="preserve"> au cours des trois dernières années, selon le quintile de revenu du ménage et le statut d'immigrante, Canada - déclaration faite en 2012</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_Toc437589652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15</w:t>
        </w:r>
        <w:r w:rsidR="006B5D30" w:rsidRPr="00A21209">
          <w:rPr>
            <w:noProof/>
            <w:webHidden/>
            <w:sz w:val="22"/>
            <w:szCs w:val="22"/>
          </w:rPr>
          <w:fldChar w:fldCharType="end"/>
        </w:r>
      </w:hyperlink>
    </w:p>
    <w:p w14:paraId="6CBA6C92"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53" w:history="1">
        <w:r w:rsidR="006B5D30" w:rsidRPr="00A21209">
          <w:rPr>
            <w:rStyle w:val="Hyperlink"/>
            <w:noProof/>
            <w:sz w:val="22"/>
            <w:szCs w:val="22"/>
            <w:lang w:val="fr-CA"/>
          </w:rPr>
          <w:t xml:space="preserve">Figure 2.ii </w:t>
        </w:r>
        <w:r w:rsidR="006B5D30" w:rsidRPr="00A21209">
          <w:rPr>
            <w:rStyle w:val="Hyperlink"/>
            <w:rFonts w:eastAsia="Times New Roman"/>
            <w:noProof/>
            <w:sz w:val="22"/>
            <w:szCs w:val="22"/>
            <w:lang w:val="fr-CA" w:eastAsia="en-CA"/>
          </w:rPr>
          <w:t>Pourcentage des femmes admissibles</w:t>
        </w:r>
        <w:r w:rsidR="006B5D30" w:rsidRPr="00A21209">
          <w:rPr>
            <w:rStyle w:val="Hyperlink"/>
            <w:rFonts w:eastAsia="Times New Roman"/>
            <w:noProof/>
            <w:sz w:val="22"/>
            <w:szCs w:val="22"/>
            <w:vertAlign w:val="superscript"/>
            <w:lang w:val="fr-CA" w:eastAsia="en-CA"/>
          </w:rPr>
          <w:t>†</w:t>
        </w:r>
        <w:r w:rsidR="006B5D30" w:rsidRPr="00A21209">
          <w:rPr>
            <w:rStyle w:val="Hyperlink"/>
            <w:rFonts w:eastAsia="Times New Roman"/>
            <w:noProof/>
            <w:sz w:val="22"/>
            <w:szCs w:val="22"/>
            <w:lang w:val="fr-CA" w:eastAsia="en-CA"/>
          </w:rPr>
          <w:t xml:space="preserve"> (de 50 à 69 ans) déclarant avoir subi une mammographie de dépistage</w:t>
        </w:r>
        <w:r w:rsidR="006B5D30" w:rsidRPr="00A21209">
          <w:rPr>
            <w:rStyle w:val="Hyperlink"/>
            <w:rFonts w:eastAsia="Times New Roman"/>
            <w:noProof/>
            <w:sz w:val="22"/>
            <w:szCs w:val="22"/>
            <w:vertAlign w:val="superscript"/>
            <w:lang w:val="fr-CA" w:eastAsia="en-CA"/>
          </w:rPr>
          <w:t>††</w:t>
        </w:r>
        <w:r w:rsidR="006B5D30" w:rsidRPr="00A21209">
          <w:rPr>
            <w:rStyle w:val="Hyperlink"/>
            <w:rFonts w:eastAsia="Times New Roman"/>
            <w:noProof/>
            <w:sz w:val="22"/>
            <w:szCs w:val="22"/>
            <w:lang w:val="fr-CA" w:eastAsia="en-CA"/>
          </w:rPr>
          <w:t xml:space="preserve"> au cours des deux dernières années, selon le quintile de revenu du ménage et le statut d'immigrante, Canada - déclaration faite en 2012</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_Toc437589653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16</w:t>
        </w:r>
        <w:r w:rsidR="006B5D30" w:rsidRPr="00A21209">
          <w:rPr>
            <w:noProof/>
            <w:webHidden/>
            <w:sz w:val="22"/>
            <w:szCs w:val="22"/>
          </w:rPr>
          <w:fldChar w:fldCharType="end"/>
        </w:r>
      </w:hyperlink>
    </w:p>
    <w:p w14:paraId="46E41825"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54" w:history="1">
        <w:r w:rsidR="006B5D30" w:rsidRPr="00A21209">
          <w:rPr>
            <w:rStyle w:val="Hyperlink"/>
            <w:noProof/>
            <w:sz w:val="22"/>
            <w:szCs w:val="22"/>
            <w:lang w:val="fr-CA"/>
          </w:rPr>
          <w:t xml:space="preserve">Figure 2.iii </w:t>
        </w:r>
        <w:r w:rsidR="006B5D30" w:rsidRPr="00A21209">
          <w:rPr>
            <w:rStyle w:val="Hyperlink"/>
            <w:rFonts w:eastAsia="Times New Roman"/>
            <w:noProof/>
            <w:sz w:val="22"/>
            <w:szCs w:val="22"/>
            <w:lang w:val="fr-CA" w:eastAsia="en-CA"/>
          </w:rPr>
          <w:t>Pourcentage de la population (de 50 à 74 ans) à jour</w:t>
        </w:r>
        <w:r w:rsidR="006B5D30" w:rsidRPr="00A21209">
          <w:rPr>
            <w:rStyle w:val="Hyperlink"/>
            <w:rFonts w:eastAsia="Times New Roman"/>
            <w:noProof/>
            <w:sz w:val="22"/>
            <w:szCs w:val="22"/>
            <w:vertAlign w:val="superscript"/>
            <w:lang w:val="fr-CA" w:eastAsia="en-CA"/>
          </w:rPr>
          <w:t>†</w:t>
        </w:r>
        <w:r w:rsidR="006B5D30" w:rsidRPr="00A21209">
          <w:rPr>
            <w:rStyle w:val="Hyperlink"/>
            <w:rFonts w:eastAsia="Times New Roman"/>
            <w:noProof/>
            <w:sz w:val="22"/>
            <w:szCs w:val="22"/>
            <w:lang w:val="fr-CA" w:eastAsia="en-CA"/>
          </w:rPr>
          <w:t xml:space="preserve"> dans ses tests de dépistage du cancer colorectal effectués en l'absence de symptômes</w:t>
        </w:r>
        <w:r w:rsidR="006B5D30" w:rsidRPr="00A21209">
          <w:rPr>
            <w:rStyle w:val="Hyperlink"/>
            <w:rFonts w:eastAsia="Times New Roman"/>
            <w:noProof/>
            <w:sz w:val="22"/>
            <w:szCs w:val="22"/>
            <w:vertAlign w:val="superscript"/>
            <w:lang w:val="fr-CA" w:eastAsia="en-CA"/>
          </w:rPr>
          <w:t>††</w:t>
        </w:r>
        <w:r w:rsidR="006B5D30" w:rsidRPr="00A21209">
          <w:rPr>
            <w:rStyle w:val="Hyperlink"/>
            <w:rFonts w:eastAsia="Times New Roman"/>
            <w:noProof/>
            <w:sz w:val="22"/>
            <w:szCs w:val="22"/>
            <w:lang w:val="fr-CA" w:eastAsia="en-CA"/>
          </w:rPr>
          <w:t>, selon le quintile de revenu du ménage et le statut d'immigrant, Canada - déclaration faite en 2012</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_Toc437589654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17</w:t>
        </w:r>
        <w:r w:rsidR="006B5D30" w:rsidRPr="00A21209">
          <w:rPr>
            <w:noProof/>
            <w:webHidden/>
            <w:sz w:val="22"/>
            <w:szCs w:val="22"/>
          </w:rPr>
          <w:fldChar w:fldCharType="end"/>
        </w:r>
      </w:hyperlink>
    </w:p>
    <w:p w14:paraId="377F2E11"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55" w:history="1">
        <w:r w:rsidR="006B5D30" w:rsidRPr="00A21209">
          <w:rPr>
            <w:rStyle w:val="Hyperlink"/>
            <w:noProof/>
            <w:sz w:val="22"/>
            <w:szCs w:val="22"/>
            <w:lang w:val="fr-CA"/>
          </w:rPr>
          <w:t xml:space="preserve">Figure 3.1 </w:t>
        </w:r>
        <w:r w:rsidR="006B5D30" w:rsidRPr="00A21209">
          <w:rPr>
            <w:rStyle w:val="Hyperlink"/>
            <w:rFonts w:eastAsia="Times New Roman"/>
            <w:noProof/>
            <w:sz w:val="22"/>
            <w:szCs w:val="22"/>
            <w:lang w:val="fr-CA" w:eastAsia="en-CA"/>
          </w:rPr>
          <w:t>Temps d'attente médian et du 90</w:t>
        </w:r>
        <w:r w:rsidR="006B5D30" w:rsidRPr="00A21209">
          <w:rPr>
            <w:rStyle w:val="Hyperlink"/>
            <w:rFonts w:eastAsia="Times New Roman"/>
            <w:noProof/>
            <w:sz w:val="22"/>
            <w:szCs w:val="22"/>
            <w:vertAlign w:val="superscript"/>
            <w:lang w:val="fr-CA" w:eastAsia="en-CA"/>
          </w:rPr>
          <w:t>e</w:t>
        </w:r>
        <w:r w:rsidR="006B5D30" w:rsidRPr="00A21209">
          <w:rPr>
            <w:rStyle w:val="Hyperlink"/>
            <w:rFonts w:eastAsia="Times New Roman"/>
            <w:noProof/>
            <w:sz w:val="22"/>
            <w:szCs w:val="22"/>
            <w:lang w:val="fr-CA" w:eastAsia="en-CA"/>
          </w:rPr>
          <w:t xml:space="preserve"> percentile jusqu'à la résolution d'une anomalie au sein dépistée sans biopsie tissulaire chez les femmes (de 50 à 69 ans), selon la province ou le territoire – 2012</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_Toc437589655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18</w:t>
        </w:r>
        <w:r w:rsidR="006B5D30" w:rsidRPr="00A21209">
          <w:rPr>
            <w:noProof/>
            <w:webHidden/>
            <w:sz w:val="22"/>
            <w:szCs w:val="22"/>
          </w:rPr>
          <w:fldChar w:fldCharType="end"/>
        </w:r>
      </w:hyperlink>
    </w:p>
    <w:p w14:paraId="251707DC"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56" w:history="1">
        <w:r w:rsidR="006B5D30" w:rsidRPr="00A21209">
          <w:rPr>
            <w:rStyle w:val="Hyperlink"/>
            <w:noProof/>
            <w:sz w:val="22"/>
            <w:szCs w:val="22"/>
            <w:lang w:val="fr-CA"/>
          </w:rPr>
          <w:t xml:space="preserve">Figure 3.2 </w:t>
        </w:r>
        <w:r w:rsidR="006B5D30" w:rsidRPr="00A21209">
          <w:rPr>
            <w:rStyle w:val="Hyperlink"/>
            <w:rFonts w:eastAsia="Times New Roman"/>
            <w:noProof/>
            <w:sz w:val="22"/>
            <w:szCs w:val="22"/>
            <w:lang w:val="fr-CA" w:eastAsia="en-CA"/>
          </w:rPr>
          <w:t>Temps d'attente médian et du 90</w:t>
        </w:r>
        <w:r w:rsidR="006B5D30" w:rsidRPr="00A21209">
          <w:rPr>
            <w:rStyle w:val="Hyperlink"/>
            <w:rFonts w:eastAsia="Times New Roman"/>
            <w:noProof/>
            <w:sz w:val="22"/>
            <w:szCs w:val="22"/>
            <w:vertAlign w:val="superscript"/>
            <w:lang w:val="fr-CA" w:eastAsia="en-CA"/>
          </w:rPr>
          <w:t>e</w:t>
        </w:r>
        <w:r w:rsidR="006B5D30" w:rsidRPr="00A21209">
          <w:rPr>
            <w:rStyle w:val="Hyperlink"/>
            <w:rFonts w:eastAsia="Times New Roman"/>
            <w:noProof/>
            <w:sz w:val="22"/>
            <w:szCs w:val="22"/>
            <w:lang w:val="fr-CA" w:eastAsia="en-CA"/>
          </w:rPr>
          <w:t xml:space="preserve"> percentile jusqu'à la résolution d'une anomalie au sein dépistée par biopsie tissulaire chez les femmes (de 50 à 69 ans), selon la province ou le territoire - 2012</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_Toc437589656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19</w:t>
        </w:r>
        <w:r w:rsidR="006B5D30" w:rsidRPr="00A21209">
          <w:rPr>
            <w:noProof/>
            <w:webHidden/>
            <w:sz w:val="22"/>
            <w:szCs w:val="22"/>
          </w:rPr>
          <w:fldChar w:fldCharType="end"/>
        </w:r>
      </w:hyperlink>
    </w:p>
    <w:p w14:paraId="7F9559E9"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57" w:history="1">
        <w:r w:rsidR="006B5D30" w:rsidRPr="00A21209">
          <w:rPr>
            <w:rStyle w:val="Hyperlink"/>
            <w:noProof/>
            <w:sz w:val="22"/>
            <w:szCs w:val="22"/>
            <w:lang w:val="fr-CA"/>
          </w:rPr>
          <w:t xml:space="preserve">Figure 3.3 </w:t>
        </w:r>
        <w:r w:rsidR="006B5D30" w:rsidRPr="00A21209">
          <w:rPr>
            <w:rStyle w:val="Hyperlink"/>
            <w:rFonts w:eastAsia="Times New Roman"/>
            <w:noProof/>
            <w:sz w:val="22"/>
            <w:szCs w:val="22"/>
            <w:lang w:val="fr-CA" w:eastAsia="en-CA"/>
          </w:rPr>
          <w:t>Temps d'attente médian jusqu'à la résolution d'une anomalie au sein dépistée sans biopsie tissulaire chez les femmes (de 50 à 69 ans), selon la province ou le territoire – de 2004 à 2012</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_Toc437589657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20</w:t>
        </w:r>
        <w:r w:rsidR="006B5D30" w:rsidRPr="00A21209">
          <w:rPr>
            <w:noProof/>
            <w:webHidden/>
            <w:sz w:val="22"/>
            <w:szCs w:val="22"/>
          </w:rPr>
          <w:fldChar w:fldCharType="end"/>
        </w:r>
      </w:hyperlink>
    </w:p>
    <w:p w14:paraId="1FA73B6E"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58" w:history="1">
        <w:r w:rsidR="006B5D30" w:rsidRPr="00A21209">
          <w:rPr>
            <w:rStyle w:val="Hyperlink"/>
            <w:noProof/>
            <w:sz w:val="22"/>
            <w:szCs w:val="22"/>
            <w:lang w:val="fr-CA"/>
          </w:rPr>
          <w:t xml:space="preserve">Figure 3.4 </w:t>
        </w:r>
        <w:r w:rsidR="006B5D30" w:rsidRPr="00A21209">
          <w:rPr>
            <w:rStyle w:val="Hyperlink"/>
            <w:rFonts w:eastAsia="Times New Roman"/>
            <w:noProof/>
            <w:sz w:val="22"/>
            <w:szCs w:val="22"/>
            <w:lang w:val="fr-CA" w:eastAsia="en-CA"/>
          </w:rPr>
          <w:t>Temps d'attente médian jusqu'à la résolution d'une anomalie au sein dépistée par biopsie tissulaire chez les femmes (de 50 à 69 ans), selon la province ou le territoire – pour la période allant de 2004 à 2012</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_Toc437589658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21</w:t>
        </w:r>
        <w:r w:rsidR="006B5D30" w:rsidRPr="00A21209">
          <w:rPr>
            <w:noProof/>
            <w:webHidden/>
            <w:sz w:val="22"/>
            <w:szCs w:val="22"/>
          </w:rPr>
          <w:fldChar w:fldCharType="end"/>
        </w:r>
      </w:hyperlink>
    </w:p>
    <w:p w14:paraId="6D9FA122"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59" w:history="1">
        <w:r w:rsidR="006B5D30" w:rsidRPr="00A21209">
          <w:rPr>
            <w:rStyle w:val="Hyperlink"/>
            <w:noProof/>
            <w:sz w:val="22"/>
            <w:szCs w:val="22"/>
            <w:lang w:val="fr-CA"/>
          </w:rPr>
          <w:t xml:space="preserve">Figure 3.5 </w:t>
        </w:r>
        <w:r w:rsidR="006B5D30" w:rsidRPr="00A21209">
          <w:rPr>
            <w:rStyle w:val="Hyperlink"/>
            <w:rFonts w:eastAsia="Times New Roman"/>
            <w:noProof/>
            <w:sz w:val="22"/>
            <w:szCs w:val="22"/>
            <w:lang w:val="fr-CA" w:eastAsia="en-CA"/>
          </w:rPr>
          <w:t>Temps d'attente médian et du 90</w:t>
        </w:r>
        <w:r w:rsidR="006B5D30" w:rsidRPr="00A21209">
          <w:rPr>
            <w:rStyle w:val="Hyperlink"/>
            <w:rFonts w:eastAsia="Times New Roman"/>
            <w:noProof/>
            <w:sz w:val="22"/>
            <w:szCs w:val="22"/>
            <w:vertAlign w:val="superscript"/>
            <w:lang w:val="fr-CA" w:eastAsia="en-CA"/>
          </w:rPr>
          <w:t>e</w:t>
        </w:r>
        <w:r w:rsidR="006B5D30" w:rsidRPr="00A21209">
          <w:rPr>
            <w:rStyle w:val="Hyperlink"/>
            <w:rFonts w:eastAsia="Times New Roman"/>
            <w:noProof/>
            <w:sz w:val="22"/>
            <w:szCs w:val="22"/>
            <w:lang w:val="fr-CA" w:eastAsia="en-CA"/>
          </w:rPr>
          <w:t xml:space="preserve"> percentile entre une analyse des selles anormales et une coloscopie de suivi, selon la province - première série de tests de dépistage effectuée entre le 1</w:t>
        </w:r>
        <w:r w:rsidR="006B5D30" w:rsidRPr="00A21209">
          <w:rPr>
            <w:rStyle w:val="Hyperlink"/>
            <w:rFonts w:eastAsia="Times New Roman"/>
            <w:noProof/>
            <w:sz w:val="22"/>
            <w:szCs w:val="22"/>
            <w:vertAlign w:val="superscript"/>
            <w:lang w:val="fr-CA" w:eastAsia="en-CA"/>
          </w:rPr>
          <w:t>er</w:t>
        </w:r>
        <w:r w:rsidR="006B5D30" w:rsidRPr="00A21209">
          <w:rPr>
            <w:rStyle w:val="Hyperlink"/>
            <w:rFonts w:eastAsia="Times New Roman"/>
            <w:noProof/>
            <w:sz w:val="22"/>
            <w:szCs w:val="22"/>
            <w:lang w:val="fr-CA" w:eastAsia="en-CA"/>
          </w:rPr>
          <w:t xml:space="preserve"> janvier 2011 et le 31 décembre 2012</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_Toc437589659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22</w:t>
        </w:r>
        <w:r w:rsidR="006B5D30" w:rsidRPr="00A21209">
          <w:rPr>
            <w:noProof/>
            <w:webHidden/>
            <w:sz w:val="22"/>
            <w:szCs w:val="22"/>
          </w:rPr>
          <w:fldChar w:fldCharType="end"/>
        </w:r>
      </w:hyperlink>
    </w:p>
    <w:p w14:paraId="1FF57BB5"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60" w:history="1">
        <w:r w:rsidR="006B5D30" w:rsidRPr="00A21209">
          <w:rPr>
            <w:rStyle w:val="Hyperlink"/>
            <w:noProof/>
            <w:sz w:val="22"/>
            <w:szCs w:val="22"/>
            <w:lang w:val="fr-CA"/>
          </w:rPr>
          <w:t xml:space="preserve">Figure 3.i </w:t>
        </w:r>
        <w:r w:rsidR="006B5D30" w:rsidRPr="00A21209">
          <w:rPr>
            <w:rStyle w:val="Hyperlink"/>
            <w:rFonts w:eastAsia="Times New Roman"/>
            <w:noProof/>
            <w:sz w:val="22"/>
            <w:szCs w:val="22"/>
            <w:lang w:val="fr-CA" w:eastAsia="en-CA"/>
          </w:rPr>
          <w:t>Nombre de scanners de tomographie par émission de positrons (TEP) par province</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_Toc437589660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23</w:t>
        </w:r>
        <w:r w:rsidR="006B5D30" w:rsidRPr="00A21209">
          <w:rPr>
            <w:noProof/>
            <w:webHidden/>
            <w:sz w:val="22"/>
            <w:szCs w:val="22"/>
          </w:rPr>
          <w:fldChar w:fldCharType="end"/>
        </w:r>
      </w:hyperlink>
    </w:p>
    <w:p w14:paraId="27978707"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61" w:history="1">
        <w:r w:rsidR="006B5D30" w:rsidRPr="00A21209">
          <w:rPr>
            <w:rStyle w:val="Hyperlink"/>
            <w:noProof/>
            <w:sz w:val="22"/>
            <w:szCs w:val="22"/>
            <w:lang w:val="fr-CA"/>
          </w:rPr>
          <w:t xml:space="preserve">Figure 3.ii </w:t>
        </w:r>
        <w:r w:rsidR="006B5D30" w:rsidRPr="00A21209">
          <w:rPr>
            <w:rStyle w:val="Hyperlink"/>
            <w:rFonts w:eastAsia="Times New Roman"/>
            <w:noProof/>
            <w:sz w:val="22"/>
            <w:szCs w:val="22"/>
            <w:lang w:val="fr-CA" w:eastAsia="en-CA"/>
          </w:rPr>
          <w:t>Pourcentage des patients atteints d’un cancer du poumon non à petites cellules qui ont subi au moins un examen de tomographie par émission de positrons (TEP) au cours de la période comprise entre trois mois avant et un an après le diagnostic, selon la province − diagnostic établi entre 2009 et 2011</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_Toc437589661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24</w:t>
        </w:r>
        <w:r w:rsidR="006B5D30" w:rsidRPr="00A21209">
          <w:rPr>
            <w:noProof/>
            <w:webHidden/>
            <w:sz w:val="22"/>
            <w:szCs w:val="22"/>
          </w:rPr>
          <w:fldChar w:fldCharType="end"/>
        </w:r>
      </w:hyperlink>
    </w:p>
    <w:p w14:paraId="7B23DAD3"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62" w:history="1">
        <w:r w:rsidR="006B5D30" w:rsidRPr="00A21209">
          <w:rPr>
            <w:rStyle w:val="Hyperlink"/>
            <w:noProof/>
            <w:sz w:val="22"/>
            <w:szCs w:val="22"/>
            <w:lang w:val="fr-CA"/>
          </w:rPr>
          <w:t xml:space="preserve">Figure 3.iii </w:t>
        </w:r>
        <w:r w:rsidR="006B5D30" w:rsidRPr="00A21209">
          <w:rPr>
            <w:rStyle w:val="Hyperlink"/>
            <w:rFonts w:eastAsia="Times New Roman"/>
            <w:noProof/>
            <w:sz w:val="22"/>
            <w:szCs w:val="22"/>
            <w:lang w:val="fr-CA" w:eastAsia="en-CA"/>
          </w:rPr>
          <w:t>Pourcentage des patients atteints d’un cancer du poumon non à petites cellules qui ont subi au moins un examen de tomographie par émission de positrons (TEP) au cours de la période comprise entre trois mois avant et un an après le diagnostic, selon la province et le groupe d’âge – diagnostic établi entre 2009 et 2011</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_Toc437589662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25</w:t>
        </w:r>
        <w:r w:rsidR="006B5D30" w:rsidRPr="00A21209">
          <w:rPr>
            <w:noProof/>
            <w:webHidden/>
            <w:sz w:val="22"/>
            <w:szCs w:val="22"/>
          </w:rPr>
          <w:fldChar w:fldCharType="end"/>
        </w:r>
      </w:hyperlink>
    </w:p>
    <w:p w14:paraId="298ED534"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63" w:history="1">
        <w:r w:rsidR="006B5D30" w:rsidRPr="00A21209">
          <w:rPr>
            <w:rStyle w:val="Hyperlink"/>
            <w:noProof/>
            <w:sz w:val="22"/>
            <w:szCs w:val="22"/>
            <w:lang w:val="fr-CA"/>
          </w:rPr>
          <w:t xml:space="preserve">Figure 3.iv </w:t>
        </w:r>
        <w:r w:rsidR="006B5D30" w:rsidRPr="00A21209">
          <w:rPr>
            <w:rStyle w:val="Hyperlink"/>
            <w:rFonts w:eastAsia="Times New Roman"/>
            <w:noProof/>
            <w:sz w:val="22"/>
            <w:szCs w:val="22"/>
            <w:lang w:val="fr-CA" w:eastAsia="en-CA"/>
          </w:rPr>
          <w:t>Pourcentage des patients atteints d’un cancer du poumon non à petites cellules qui ont subi au moins un examen de tomographie par émission de positrons (TEP) au cours de la période comprise entre trois mois avant et un an après le diagnostic, selon la province et le stade du cancer au moment du diagnostic – diagnostic établi entre 2009 et 2011</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_Toc437589663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26</w:t>
        </w:r>
        <w:r w:rsidR="006B5D30" w:rsidRPr="00A21209">
          <w:rPr>
            <w:noProof/>
            <w:webHidden/>
            <w:sz w:val="22"/>
            <w:szCs w:val="22"/>
          </w:rPr>
          <w:fldChar w:fldCharType="end"/>
        </w:r>
      </w:hyperlink>
    </w:p>
    <w:p w14:paraId="6795EBCD"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64" w:history="1">
        <w:r w:rsidR="006B5D30" w:rsidRPr="00A21209">
          <w:rPr>
            <w:rStyle w:val="Hyperlink"/>
            <w:noProof/>
            <w:sz w:val="22"/>
            <w:szCs w:val="22"/>
            <w:lang w:val="fr-CA"/>
          </w:rPr>
          <w:t xml:space="preserve">Figure 3.v </w:t>
        </w:r>
        <w:r w:rsidR="006B5D30" w:rsidRPr="00A21209">
          <w:rPr>
            <w:rStyle w:val="Hyperlink"/>
            <w:rFonts w:eastAsia="Times New Roman"/>
            <w:noProof/>
            <w:sz w:val="22"/>
            <w:szCs w:val="22"/>
            <w:lang w:val="fr-CA" w:eastAsia="en-CA"/>
          </w:rPr>
          <w:t>Répartition du total des examens par TEP selon le stade du cancer à l'étape du diagnostic, chez les patients atteints d'un cancer non à petites cellules† qui ont reçu leur diagnostic entre 2009 et 2011 - selon la province</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_Toc437589664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27</w:t>
        </w:r>
        <w:r w:rsidR="006B5D30" w:rsidRPr="00A21209">
          <w:rPr>
            <w:noProof/>
            <w:webHidden/>
            <w:sz w:val="22"/>
            <w:szCs w:val="22"/>
          </w:rPr>
          <w:fldChar w:fldCharType="end"/>
        </w:r>
      </w:hyperlink>
    </w:p>
    <w:p w14:paraId="7D841559"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65" w:history="1">
        <w:r w:rsidR="006B5D30" w:rsidRPr="00A21209">
          <w:rPr>
            <w:rStyle w:val="Hyperlink"/>
            <w:noProof/>
            <w:sz w:val="22"/>
            <w:szCs w:val="22"/>
            <w:lang w:val="fr-CA"/>
          </w:rPr>
          <w:t xml:space="preserve">Figure 4.1 </w:t>
        </w:r>
        <w:r w:rsidR="006B5D30" w:rsidRPr="00A21209">
          <w:rPr>
            <w:rStyle w:val="Hyperlink"/>
            <w:rFonts w:eastAsia="Times New Roman"/>
            <w:noProof/>
            <w:sz w:val="22"/>
            <w:szCs w:val="22"/>
            <w:lang w:val="fr-CA" w:eastAsia="en-CA"/>
          </w:rPr>
          <w:t>Taux de résections du côlon comportant le prélèvement et l'examen d'au moins 12 ganglions lymphatiques, selon la province - diagnostic établie entre 2008 et 2011</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_Toc437589665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28</w:t>
        </w:r>
        <w:r w:rsidR="006B5D30" w:rsidRPr="00A21209">
          <w:rPr>
            <w:noProof/>
            <w:webHidden/>
            <w:sz w:val="22"/>
            <w:szCs w:val="22"/>
          </w:rPr>
          <w:fldChar w:fldCharType="end"/>
        </w:r>
      </w:hyperlink>
    </w:p>
    <w:p w14:paraId="4F33FD87"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66" w:history="1">
        <w:r w:rsidR="006B5D30" w:rsidRPr="00A21209">
          <w:rPr>
            <w:rStyle w:val="Hyperlink"/>
            <w:noProof/>
            <w:sz w:val="22"/>
            <w:szCs w:val="22"/>
            <w:lang w:val="fr-CA"/>
          </w:rPr>
          <w:t xml:space="preserve">Figure 4.2 </w:t>
        </w:r>
        <w:r w:rsidR="006B5D30" w:rsidRPr="00A21209">
          <w:rPr>
            <w:rStyle w:val="Hyperlink"/>
            <w:rFonts w:eastAsia="Times New Roman"/>
            <w:noProof/>
            <w:sz w:val="22"/>
            <w:szCs w:val="22"/>
            <w:lang w:val="fr-CA" w:eastAsia="en-CA"/>
          </w:rPr>
          <w:t>Taux de résections du côlon comportant le prélèvement et l'examen d'au moins 12 ganglions lymphatiques, selon le groupe d'âge  -  diagnostic établi entre 2008 et 2011</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_Toc437589666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29</w:t>
        </w:r>
        <w:r w:rsidR="006B5D30" w:rsidRPr="00A21209">
          <w:rPr>
            <w:noProof/>
            <w:webHidden/>
            <w:sz w:val="22"/>
            <w:szCs w:val="22"/>
          </w:rPr>
          <w:fldChar w:fldCharType="end"/>
        </w:r>
      </w:hyperlink>
    </w:p>
    <w:p w14:paraId="18920A2C"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67" w:history="1">
        <w:r w:rsidR="006B5D30" w:rsidRPr="00A21209">
          <w:rPr>
            <w:rStyle w:val="Hyperlink"/>
            <w:noProof/>
            <w:sz w:val="22"/>
            <w:szCs w:val="22"/>
            <w:lang w:val="fr-CA"/>
          </w:rPr>
          <w:t xml:space="preserve">Figure 4.3 </w:t>
        </w:r>
        <w:r w:rsidR="006B5D30" w:rsidRPr="00A21209">
          <w:rPr>
            <w:rStyle w:val="Hyperlink"/>
            <w:rFonts w:eastAsia="Times New Roman"/>
            <w:noProof/>
            <w:sz w:val="22"/>
            <w:szCs w:val="22"/>
            <w:lang w:val="fr-CA" w:eastAsia="en-CA"/>
          </w:rPr>
          <w:t>Taux de résections du côlon comportant le prélèvement et l'examen d'au moins 12 ganglions lymphatiques, selon le groupe d'âge et le sexe - diagnostic établi en 2011</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_Toc437589667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30</w:t>
        </w:r>
        <w:r w:rsidR="006B5D30" w:rsidRPr="00A21209">
          <w:rPr>
            <w:noProof/>
            <w:webHidden/>
            <w:sz w:val="22"/>
            <w:szCs w:val="22"/>
          </w:rPr>
          <w:fldChar w:fldCharType="end"/>
        </w:r>
      </w:hyperlink>
    </w:p>
    <w:p w14:paraId="359D0391"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68" w:history="1">
        <w:r w:rsidR="006B5D30" w:rsidRPr="00A21209">
          <w:rPr>
            <w:rStyle w:val="Hyperlink"/>
            <w:noProof/>
            <w:sz w:val="22"/>
            <w:szCs w:val="22"/>
            <w:lang w:val="fr-CA"/>
          </w:rPr>
          <w:t xml:space="preserve">Figure 4.4 </w:t>
        </w:r>
        <w:r w:rsidR="006B5D30" w:rsidRPr="00A21209">
          <w:rPr>
            <w:rStyle w:val="Hyperlink"/>
            <w:rFonts w:eastAsia="Times New Roman"/>
            <w:noProof/>
            <w:sz w:val="22"/>
            <w:szCs w:val="22"/>
            <w:lang w:val="fr-CA" w:eastAsia="en-CA"/>
          </w:rPr>
          <w:t>Taux de résections de tumeurs mammaires cancéreuses qui sont des mastectomies, selon la by province ou le territoire - pour les exercices 2008-2009 à 2012-2013 pris ensemble</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_Toc437589668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31</w:t>
        </w:r>
        <w:r w:rsidR="006B5D30" w:rsidRPr="00A21209">
          <w:rPr>
            <w:noProof/>
            <w:webHidden/>
            <w:sz w:val="22"/>
            <w:szCs w:val="22"/>
          </w:rPr>
          <w:fldChar w:fldCharType="end"/>
        </w:r>
      </w:hyperlink>
    </w:p>
    <w:p w14:paraId="639E9363"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69" w:history="1">
        <w:r w:rsidR="006B5D30" w:rsidRPr="00A21209">
          <w:rPr>
            <w:rStyle w:val="Hyperlink"/>
            <w:noProof/>
            <w:sz w:val="22"/>
            <w:szCs w:val="22"/>
            <w:lang w:val="fr-CA"/>
          </w:rPr>
          <w:t xml:space="preserve">Figure 4.5 </w:t>
        </w:r>
        <w:r w:rsidR="006B5D30" w:rsidRPr="00A21209">
          <w:rPr>
            <w:rStyle w:val="Hyperlink"/>
            <w:rFonts w:eastAsia="Times New Roman"/>
            <w:noProof/>
            <w:sz w:val="22"/>
            <w:szCs w:val="22"/>
            <w:lang w:val="fr-CA" w:eastAsia="en-CA"/>
          </w:rPr>
          <w:t>Temps d'attente médian et du 90</w:t>
        </w:r>
        <w:r w:rsidR="006B5D30" w:rsidRPr="00A21209">
          <w:rPr>
            <w:rStyle w:val="Hyperlink"/>
            <w:rFonts w:eastAsia="Times New Roman"/>
            <w:noProof/>
            <w:sz w:val="22"/>
            <w:szCs w:val="22"/>
            <w:vertAlign w:val="superscript"/>
            <w:lang w:val="fr-CA" w:eastAsia="en-CA"/>
          </w:rPr>
          <w:t>e</w:t>
        </w:r>
        <w:r w:rsidR="006B5D30" w:rsidRPr="00A21209">
          <w:rPr>
            <w:rStyle w:val="Hyperlink"/>
            <w:rFonts w:eastAsia="Times New Roman"/>
            <w:noProof/>
            <w:sz w:val="22"/>
            <w:szCs w:val="22"/>
            <w:lang w:val="fr-CA" w:eastAsia="en-CA"/>
          </w:rPr>
          <w:t xml:space="preserve"> percentile en radiothérapie, tous les cancers, selon la province – traitement suivi en 2013</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_Toc437589669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32</w:t>
        </w:r>
        <w:r w:rsidR="006B5D30" w:rsidRPr="00A21209">
          <w:rPr>
            <w:noProof/>
            <w:webHidden/>
            <w:sz w:val="22"/>
            <w:szCs w:val="22"/>
          </w:rPr>
          <w:fldChar w:fldCharType="end"/>
        </w:r>
      </w:hyperlink>
    </w:p>
    <w:p w14:paraId="55892244"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70" w:history="1">
        <w:r w:rsidR="006B5D30" w:rsidRPr="00A21209">
          <w:rPr>
            <w:rStyle w:val="Hyperlink"/>
            <w:noProof/>
            <w:sz w:val="22"/>
            <w:szCs w:val="22"/>
            <w:lang w:val="fr-CA"/>
          </w:rPr>
          <w:t xml:space="preserve">Figure 4.6 </w:t>
        </w:r>
        <w:r w:rsidR="006B5D30" w:rsidRPr="00A21209">
          <w:rPr>
            <w:rStyle w:val="Hyperlink"/>
            <w:rFonts w:eastAsia="Times New Roman"/>
            <w:noProof/>
            <w:sz w:val="22"/>
            <w:szCs w:val="22"/>
            <w:lang w:val="fr-CA" w:eastAsia="en-CA"/>
          </w:rPr>
          <w:t>Temps d'attente du 90</w:t>
        </w:r>
        <w:r w:rsidR="006B5D30" w:rsidRPr="00A21209">
          <w:rPr>
            <w:rStyle w:val="Hyperlink"/>
            <w:rFonts w:eastAsia="Times New Roman"/>
            <w:noProof/>
            <w:sz w:val="22"/>
            <w:szCs w:val="22"/>
            <w:vertAlign w:val="superscript"/>
            <w:lang w:val="fr-CA" w:eastAsia="en-CA"/>
          </w:rPr>
          <w:t>e</w:t>
        </w:r>
        <w:r w:rsidR="006B5D30" w:rsidRPr="00A21209">
          <w:rPr>
            <w:rStyle w:val="Hyperlink"/>
            <w:rFonts w:eastAsia="Times New Roman"/>
            <w:noProof/>
            <w:sz w:val="22"/>
            <w:szCs w:val="22"/>
            <w:lang w:val="fr-CA" w:eastAsia="en-CA"/>
          </w:rPr>
          <w:t xml:space="preserve"> percentile en radiothérapie, selon le type de cancer et la province - traitement suivi en 2013</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_Toc437589670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33</w:t>
        </w:r>
        <w:r w:rsidR="006B5D30" w:rsidRPr="00A21209">
          <w:rPr>
            <w:noProof/>
            <w:webHidden/>
            <w:sz w:val="22"/>
            <w:szCs w:val="22"/>
          </w:rPr>
          <w:fldChar w:fldCharType="end"/>
        </w:r>
      </w:hyperlink>
    </w:p>
    <w:p w14:paraId="08F47AB9"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71" w:history="1">
        <w:r w:rsidR="006B5D30" w:rsidRPr="00A21209">
          <w:rPr>
            <w:rStyle w:val="Hyperlink"/>
            <w:noProof/>
            <w:sz w:val="22"/>
            <w:szCs w:val="22"/>
            <w:lang w:val="fr-CA"/>
          </w:rPr>
          <w:t xml:space="preserve">Figure 4.7 </w:t>
        </w:r>
        <w:r w:rsidR="006B5D30" w:rsidRPr="00A21209">
          <w:rPr>
            <w:rStyle w:val="Hyperlink"/>
            <w:rFonts w:eastAsia="Times New Roman"/>
            <w:noProof/>
            <w:sz w:val="22"/>
            <w:szCs w:val="22"/>
            <w:lang w:val="fr-CA" w:eastAsia="en-CA"/>
          </w:rPr>
          <w:t>Pourcentage des patients atteints d'un cancer du rectum de stade II ou de stade III ayant subi une radiothérapie avant la chirurgie, selon la province –  diagnostic établi de 2008 à 2011</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_Toc437589671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34</w:t>
        </w:r>
        <w:r w:rsidR="006B5D30" w:rsidRPr="00A21209">
          <w:rPr>
            <w:noProof/>
            <w:webHidden/>
            <w:sz w:val="22"/>
            <w:szCs w:val="22"/>
          </w:rPr>
          <w:fldChar w:fldCharType="end"/>
        </w:r>
      </w:hyperlink>
    </w:p>
    <w:p w14:paraId="2614D3E4"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72" w:history="1">
        <w:r w:rsidR="006B5D30" w:rsidRPr="00A21209">
          <w:rPr>
            <w:rStyle w:val="Hyperlink"/>
            <w:noProof/>
            <w:sz w:val="22"/>
            <w:szCs w:val="22"/>
            <w:lang w:val="fr-CA"/>
          </w:rPr>
          <w:t xml:space="preserve">Figure 4.8 </w:t>
        </w:r>
        <w:r w:rsidR="006B5D30" w:rsidRPr="00A21209">
          <w:rPr>
            <w:rStyle w:val="Hyperlink"/>
            <w:rFonts w:eastAsia="Times New Roman"/>
            <w:noProof/>
            <w:sz w:val="22"/>
            <w:szCs w:val="22"/>
            <w:lang w:val="fr-CA" w:eastAsia="en-CA"/>
          </w:rPr>
          <w:t>Pourcentage de patients atteints d'un cancer du rectum de stade II ou de stade III ayant suivi une radiothérapie avant la chirurgie, selon le groupe d'âge – diagnostic établi entre 2008 et 2011</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_Toc437589672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35</w:t>
        </w:r>
        <w:r w:rsidR="006B5D30" w:rsidRPr="00A21209">
          <w:rPr>
            <w:noProof/>
            <w:webHidden/>
            <w:sz w:val="22"/>
            <w:szCs w:val="22"/>
          </w:rPr>
          <w:fldChar w:fldCharType="end"/>
        </w:r>
      </w:hyperlink>
    </w:p>
    <w:p w14:paraId="08118CA7"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73" w:history="1">
        <w:r w:rsidR="006B5D30" w:rsidRPr="00A21209">
          <w:rPr>
            <w:rStyle w:val="Hyperlink"/>
            <w:noProof/>
            <w:sz w:val="22"/>
            <w:szCs w:val="22"/>
            <w:lang w:val="fr-CA"/>
          </w:rPr>
          <w:t xml:space="preserve">Figure 4.9 </w:t>
        </w:r>
        <w:r w:rsidR="006B5D30" w:rsidRPr="00A21209">
          <w:rPr>
            <w:rStyle w:val="Hyperlink"/>
            <w:rFonts w:eastAsia="Times New Roman"/>
            <w:noProof/>
            <w:sz w:val="22"/>
            <w:szCs w:val="22"/>
            <w:lang w:val="fr-CA" w:eastAsia="en-CA"/>
          </w:rPr>
          <w:t>Pourcentage de patients atteints d'un cancer du rectum de stade II ou de stade lll ayant suivi une radiothérapie avant la chirurgie, selon le groupe d'âge et le sexe – diagnostic établi en 2011</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_Toc437589673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36</w:t>
        </w:r>
        <w:r w:rsidR="006B5D30" w:rsidRPr="00A21209">
          <w:rPr>
            <w:noProof/>
            <w:webHidden/>
            <w:sz w:val="22"/>
            <w:szCs w:val="22"/>
          </w:rPr>
          <w:fldChar w:fldCharType="end"/>
        </w:r>
      </w:hyperlink>
    </w:p>
    <w:p w14:paraId="244D8656"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74" w:history="1">
        <w:r w:rsidR="006B5D30" w:rsidRPr="00A21209">
          <w:rPr>
            <w:rStyle w:val="Hyperlink"/>
            <w:noProof/>
            <w:sz w:val="22"/>
            <w:szCs w:val="22"/>
            <w:lang w:val="fr-CA"/>
          </w:rPr>
          <w:t xml:space="preserve">Figure 4.10 </w:t>
        </w:r>
        <w:r w:rsidR="006B5D30" w:rsidRPr="00A21209">
          <w:rPr>
            <w:rStyle w:val="Hyperlink"/>
            <w:rFonts w:eastAsia="Times New Roman"/>
            <w:noProof/>
            <w:sz w:val="22"/>
            <w:szCs w:val="22"/>
            <w:lang w:val="fr-CA" w:eastAsia="en-CA"/>
          </w:rPr>
          <w:t>Pourcentage des patients atteints d’un cancer du poumon « non à petites cellules » de stade II ou IIIA ayant subi une chimiothérapie après la résection chirurgicale, selon la province – diagnostic établi entre 2009 et 2011</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_Toc437589674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37</w:t>
        </w:r>
        <w:r w:rsidR="006B5D30" w:rsidRPr="00A21209">
          <w:rPr>
            <w:noProof/>
            <w:webHidden/>
            <w:sz w:val="22"/>
            <w:szCs w:val="22"/>
          </w:rPr>
          <w:fldChar w:fldCharType="end"/>
        </w:r>
      </w:hyperlink>
    </w:p>
    <w:p w14:paraId="4D275667"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75" w:history="1">
        <w:r w:rsidR="006B5D30" w:rsidRPr="00A21209">
          <w:rPr>
            <w:rStyle w:val="Hyperlink"/>
            <w:noProof/>
            <w:sz w:val="22"/>
            <w:szCs w:val="22"/>
            <w:lang w:val="fr-CA"/>
          </w:rPr>
          <w:t xml:space="preserve">Figure 4.11 </w:t>
        </w:r>
        <w:r w:rsidR="006B5D30" w:rsidRPr="00A21209">
          <w:rPr>
            <w:rStyle w:val="Hyperlink"/>
            <w:rFonts w:eastAsia="Times New Roman"/>
            <w:noProof/>
            <w:sz w:val="22"/>
            <w:szCs w:val="22"/>
            <w:lang w:val="fr-CA" w:eastAsia="en-CA"/>
          </w:rPr>
          <w:t>Pourcentage des patients atteints d’un cancer du poumon « non à petites cellules » de stade II ou IIIA ayant subi une chimiothérapie après la résection chirurgicale, selon le groupe d’âge – diagnostic établi entre 2009 et 2011</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_Toc437589675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38</w:t>
        </w:r>
        <w:r w:rsidR="006B5D30" w:rsidRPr="00A21209">
          <w:rPr>
            <w:noProof/>
            <w:webHidden/>
            <w:sz w:val="22"/>
            <w:szCs w:val="22"/>
          </w:rPr>
          <w:fldChar w:fldCharType="end"/>
        </w:r>
      </w:hyperlink>
    </w:p>
    <w:p w14:paraId="792A79FE"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76" w:history="1">
        <w:r w:rsidR="006B5D30" w:rsidRPr="00A21209">
          <w:rPr>
            <w:rStyle w:val="Hyperlink"/>
            <w:noProof/>
            <w:sz w:val="22"/>
            <w:szCs w:val="22"/>
            <w:lang w:val="fr-CA"/>
          </w:rPr>
          <w:t xml:space="preserve">Figure 4.12 </w:t>
        </w:r>
        <w:r w:rsidR="006B5D30" w:rsidRPr="00A21209">
          <w:rPr>
            <w:rStyle w:val="Hyperlink"/>
            <w:rFonts w:eastAsia="Times New Roman"/>
            <w:noProof/>
            <w:sz w:val="22"/>
            <w:szCs w:val="22"/>
            <w:lang w:val="fr-CA" w:eastAsia="en-CA"/>
          </w:rPr>
          <w:t>Pourcentage des patients atteints d’un cancer du poumon « non à petites cellules » de stade II ou IIIA ayant subi une chimiothérapie après la résection chirurgicale, selon le groupe d’âge et le sexe – diagnostic établi en 2011</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_Toc437589676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39</w:t>
        </w:r>
        <w:r w:rsidR="006B5D30" w:rsidRPr="00A21209">
          <w:rPr>
            <w:noProof/>
            <w:webHidden/>
            <w:sz w:val="22"/>
            <w:szCs w:val="22"/>
          </w:rPr>
          <w:fldChar w:fldCharType="end"/>
        </w:r>
      </w:hyperlink>
    </w:p>
    <w:p w14:paraId="6D96F789"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77" w:history="1">
        <w:r w:rsidR="006B5D30" w:rsidRPr="00A21209">
          <w:rPr>
            <w:rStyle w:val="Hyperlink"/>
            <w:noProof/>
            <w:sz w:val="22"/>
            <w:szCs w:val="22"/>
            <w:lang w:val="fr-CA"/>
          </w:rPr>
          <w:t xml:space="preserve">Figure 5.1 </w:t>
        </w:r>
        <w:r w:rsidR="006B5D30" w:rsidRPr="00A21209">
          <w:rPr>
            <w:rStyle w:val="Hyperlink"/>
            <w:rFonts w:eastAsia="Times New Roman"/>
            <w:noProof/>
            <w:sz w:val="22"/>
            <w:szCs w:val="22"/>
            <w:lang w:val="fr-CA" w:eastAsia="en-CA"/>
          </w:rPr>
          <w:t>Étendue de l’utilisation d’outils normalisés de dépistage de la détresse dans les cliniques des organismes et programmes provinciaux de lutte contre le cancer - 2014</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_Toc437589677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40</w:t>
        </w:r>
        <w:r w:rsidR="006B5D30" w:rsidRPr="00A21209">
          <w:rPr>
            <w:noProof/>
            <w:webHidden/>
            <w:sz w:val="22"/>
            <w:szCs w:val="22"/>
          </w:rPr>
          <w:fldChar w:fldCharType="end"/>
        </w:r>
      </w:hyperlink>
    </w:p>
    <w:p w14:paraId="53A3431F"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78" w:history="1">
        <w:r w:rsidR="006B5D30" w:rsidRPr="00A21209">
          <w:rPr>
            <w:rStyle w:val="Hyperlink"/>
            <w:rFonts w:eastAsia="Times New Roman"/>
            <w:noProof/>
            <w:sz w:val="22"/>
            <w:szCs w:val="22"/>
            <w:lang w:val="fr-CA" w:eastAsia="en-CA"/>
          </w:rPr>
          <w:t>Figure 6.1. Ratio entre les patients adultes inscrits à des essais cliniques et le nombre de nouveaux cas selon la province, tous les cancers – inscription en 2013</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_Toc437589678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41</w:t>
        </w:r>
        <w:r w:rsidR="006B5D30" w:rsidRPr="00A21209">
          <w:rPr>
            <w:noProof/>
            <w:webHidden/>
            <w:sz w:val="22"/>
            <w:szCs w:val="22"/>
          </w:rPr>
          <w:fldChar w:fldCharType="end"/>
        </w:r>
      </w:hyperlink>
    </w:p>
    <w:p w14:paraId="3952DBF2"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79" w:history="1">
        <w:r w:rsidR="006B5D30" w:rsidRPr="00A21209">
          <w:rPr>
            <w:rStyle w:val="Hyperlink"/>
            <w:noProof/>
            <w:sz w:val="22"/>
            <w:szCs w:val="22"/>
            <w:lang w:val="fr-CA"/>
          </w:rPr>
          <w:t xml:space="preserve">Figure 6.2 </w:t>
        </w:r>
        <w:r w:rsidR="006B5D30" w:rsidRPr="00A21209">
          <w:rPr>
            <w:rStyle w:val="Hyperlink"/>
            <w:rFonts w:eastAsia="Times New Roman"/>
            <w:noProof/>
            <w:sz w:val="22"/>
            <w:szCs w:val="22"/>
            <w:lang w:val="fr-CA" w:eastAsia="en-CA"/>
          </w:rPr>
          <w:t>Ratio entre les patients adultes inscrits à des essais cliniques et le nombre de nouveaux cas selon le siège de la maladie, les quatre types de cancer les plus fréquents et tous les cancers – inscription en 2013</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_Toc437589679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42</w:t>
        </w:r>
        <w:r w:rsidR="006B5D30" w:rsidRPr="00A21209">
          <w:rPr>
            <w:noProof/>
            <w:webHidden/>
            <w:sz w:val="22"/>
            <w:szCs w:val="22"/>
          </w:rPr>
          <w:fldChar w:fldCharType="end"/>
        </w:r>
      </w:hyperlink>
    </w:p>
    <w:p w14:paraId="3ACCAB08"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80" w:history="1">
        <w:r w:rsidR="006B5D30" w:rsidRPr="00A21209">
          <w:rPr>
            <w:rStyle w:val="Hyperlink"/>
            <w:noProof/>
            <w:sz w:val="22"/>
            <w:szCs w:val="22"/>
            <w:lang w:val="fr-CA"/>
          </w:rPr>
          <w:t xml:space="preserve">Figure 7.1 </w:t>
        </w:r>
        <w:r w:rsidR="006B5D30" w:rsidRPr="00A21209">
          <w:rPr>
            <w:rStyle w:val="Hyperlink"/>
            <w:rFonts w:eastAsia="Times New Roman"/>
            <w:noProof/>
            <w:sz w:val="22"/>
            <w:szCs w:val="22"/>
            <w:lang w:val="fr-CA" w:eastAsia="en-CA"/>
          </w:rPr>
          <w:t>Pourcentage de toutes les mammographies de dépistageƚ autodéclarées effectuées à l’intérieur et à l’extérieur du groupe d’âge recommandé par les lignes directrices (50 à 74 ans), selon la province ou le territoire – déclaration faite en 2012</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_Toc437589680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43</w:t>
        </w:r>
        <w:r w:rsidR="006B5D30" w:rsidRPr="00A21209">
          <w:rPr>
            <w:noProof/>
            <w:webHidden/>
            <w:sz w:val="22"/>
            <w:szCs w:val="22"/>
          </w:rPr>
          <w:fldChar w:fldCharType="end"/>
        </w:r>
      </w:hyperlink>
    </w:p>
    <w:p w14:paraId="58CA1CC2"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81" w:history="1">
        <w:r w:rsidR="006B5D30" w:rsidRPr="00A21209">
          <w:rPr>
            <w:rStyle w:val="Hyperlink"/>
            <w:noProof/>
            <w:sz w:val="22"/>
            <w:szCs w:val="22"/>
            <w:lang w:val="fr-CA"/>
          </w:rPr>
          <w:t xml:space="preserve">Figure 7.2 </w:t>
        </w:r>
        <w:r w:rsidR="006B5D30" w:rsidRPr="00A21209">
          <w:rPr>
            <w:rStyle w:val="Hyperlink"/>
            <w:rFonts w:eastAsia="Times New Roman"/>
            <w:noProof/>
            <w:sz w:val="22"/>
            <w:szCs w:val="22"/>
            <w:lang w:val="fr-CA" w:eastAsia="en-CA"/>
          </w:rPr>
          <w:t>Pourcentage des mastectomies dues au cancer du sein effectuées en chirurgie ambulatoireselon la province ou le territoire – exercices 2007-2008 à 2011-2012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_Toc437589681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44</w:t>
        </w:r>
        <w:r w:rsidR="006B5D30" w:rsidRPr="00A21209">
          <w:rPr>
            <w:noProof/>
            <w:webHidden/>
            <w:sz w:val="22"/>
            <w:szCs w:val="22"/>
          </w:rPr>
          <w:fldChar w:fldCharType="end"/>
        </w:r>
      </w:hyperlink>
    </w:p>
    <w:p w14:paraId="5CBE29EC"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82" w:history="1">
        <w:r w:rsidR="006B5D30" w:rsidRPr="00A21209">
          <w:rPr>
            <w:rStyle w:val="Hyperlink"/>
            <w:noProof/>
            <w:sz w:val="22"/>
            <w:szCs w:val="22"/>
            <w:lang w:val="fr-CA"/>
          </w:rPr>
          <w:t xml:space="preserve">Figure 8.1 </w:t>
        </w:r>
        <w:r w:rsidR="006B5D30" w:rsidRPr="00A21209">
          <w:rPr>
            <w:rStyle w:val="Hyperlink"/>
            <w:rFonts w:eastAsia="Times New Roman"/>
            <w:noProof/>
            <w:sz w:val="22"/>
            <w:szCs w:val="22"/>
            <w:lang w:val="fr-CA" w:eastAsia="en-CA"/>
          </w:rPr>
          <w:t>Taux d’incidence et de mortalité normalisés selon l’âge (population de 2011) des cas de cancer du sein chez les femmes, Canada – de 1992 à 2011</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_Toc437589682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45</w:t>
        </w:r>
        <w:r w:rsidR="006B5D30" w:rsidRPr="00A21209">
          <w:rPr>
            <w:noProof/>
            <w:webHidden/>
            <w:sz w:val="22"/>
            <w:szCs w:val="22"/>
          </w:rPr>
          <w:fldChar w:fldCharType="end"/>
        </w:r>
      </w:hyperlink>
    </w:p>
    <w:p w14:paraId="065B2EB6"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83" w:history="1">
        <w:r w:rsidR="006B5D30" w:rsidRPr="00A21209">
          <w:rPr>
            <w:rStyle w:val="Hyperlink"/>
            <w:noProof/>
            <w:sz w:val="22"/>
            <w:szCs w:val="22"/>
            <w:lang w:val="fr-CA"/>
          </w:rPr>
          <w:t xml:space="preserve">Figure 8.2 </w:t>
        </w:r>
        <w:r w:rsidR="006B5D30" w:rsidRPr="00A21209">
          <w:rPr>
            <w:rStyle w:val="Hyperlink"/>
            <w:rFonts w:eastAsia="Times New Roman"/>
            <w:noProof/>
            <w:sz w:val="22"/>
            <w:szCs w:val="22"/>
            <w:lang w:val="fr-CA" w:eastAsia="en-CA"/>
          </w:rPr>
          <w:t>Taux d’incidence normalisés selon l’âge (population de 2011) des cas de cancer du sein chez les femmes, selon la province –de 2008 à 2010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_Toc437589683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46</w:t>
        </w:r>
        <w:r w:rsidR="006B5D30" w:rsidRPr="00A21209">
          <w:rPr>
            <w:noProof/>
            <w:webHidden/>
            <w:sz w:val="22"/>
            <w:szCs w:val="22"/>
          </w:rPr>
          <w:fldChar w:fldCharType="end"/>
        </w:r>
      </w:hyperlink>
    </w:p>
    <w:p w14:paraId="731BA5C6"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84" w:history="1">
        <w:r w:rsidR="006B5D30" w:rsidRPr="00A21209">
          <w:rPr>
            <w:rStyle w:val="Hyperlink"/>
            <w:noProof/>
            <w:sz w:val="22"/>
            <w:szCs w:val="22"/>
            <w:lang w:val="fr-CA"/>
          </w:rPr>
          <w:t xml:space="preserve">Figure 8.3 </w:t>
        </w:r>
        <w:r w:rsidR="006B5D30" w:rsidRPr="00A21209">
          <w:rPr>
            <w:rStyle w:val="Hyperlink"/>
            <w:rFonts w:eastAsia="Times New Roman"/>
            <w:noProof/>
            <w:sz w:val="22"/>
            <w:szCs w:val="22"/>
            <w:lang w:val="fr-CA" w:eastAsia="en-CA"/>
          </w:rPr>
          <w:t>Taux d’incidence normalisés selon l’âge (population de 2011) des cas de cancer du sein chez les femmes, selon le stade au diagnostic et la province – diagnostic fait entre 2010 à 2012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_Toc437589684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47</w:t>
        </w:r>
        <w:r w:rsidR="006B5D30" w:rsidRPr="00A21209">
          <w:rPr>
            <w:noProof/>
            <w:webHidden/>
            <w:sz w:val="22"/>
            <w:szCs w:val="22"/>
          </w:rPr>
          <w:fldChar w:fldCharType="end"/>
        </w:r>
      </w:hyperlink>
    </w:p>
    <w:p w14:paraId="06B39CD6"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85" w:history="1">
        <w:r w:rsidR="006B5D30" w:rsidRPr="00A21209">
          <w:rPr>
            <w:rStyle w:val="Hyperlink"/>
            <w:noProof/>
            <w:sz w:val="22"/>
            <w:szCs w:val="22"/>
            <w:lang w:val="fr-CA"/>
          </w:rPr>
          <w:t xml:space="preserve">Figure 8.4 </w:t>
        </w:r>
        <w:r w:rsidR="006B5D30" w:rsidRPr="00A21209">
          <w:rPr>
            <w:rStyle w:val="Hyperlink"/>
            <w:rFonts w:eastAsia="Times New Roman"/>
            <w:noProof/>
            <w:sz w:val="22"/>
            <w:szCs w:val="22"/>
            <w:lang w:val="fr-CA" w:eastAsia="en-CA"/>
          </w:rPr>
          <w:t>Taux de mortalité normalisés selon l’âge (population de 2011) des cas de cancer du sein chez les femmes, selon la province – de 2009 à 2011 combinésto the 2011 population - 2009-2011 combined</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_Toc437589685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48</w:t>
        </w:r>
        <w:r w:rsidR="006B5D30" w:rsidRPr="00A21209">
          <w:rPr>
            <w:noProof/>
            <w:webHidden/>
            <w:sz w:val="22"/>
            <w:szCs w:val="22"/>
          </w:rPr>
          <w:fldChar w:fldCharType="end"/>
        </w:r>
      </w:hyperlink>
    </w:p>
    <w:p w14:paraId="3394739E"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86" w:history="1">
        <w:r w:rsidR="006B5D30" w:rsidRPr="00A21209">
          <w:rPr>
            <w:rStyle w:val="Hyperlink"/>
            <w:noProof/>
            <w:sz w:val="22"/>
            <w:szCs w:val="22"/>
            <w:lang w:val="fr-CA"/>
          </w:rPr>
          <w:t xml:space="preserve">Figure 8.5 </w:t>
        </w:r>
        <w:r w:rsidR="006B5D30" w:rsidRPr="00A21209">
          <w:rPr>
            <w:rStyle w:val="Hyperlink"/>
            <w:rFonts w:eastAsia="Times New Roman"/>
            <w:noProof/>
            <w:sz w:val="22"/>
            <w:szCs w:val="22"/>
            <w:lang w:val="fr-CA" w:eastAsia="en-CA"/>
          </w:rPr>
          <w:t>Ratio de survie relative à cinq ans normalisé selon l’âge† des cas de cancer du sein,les deux sexes combinés selon la province – de 2006 à 2008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_Toc437589686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49</w:t>
        </w:r>
        <w:r w:rsidR="006B5D30" w:rsidRPr="00A21209">
          <w:rPr>
            <w:noProof/>
            <w:webHidden/>
            <w:sz w:val="22"/>
            <w:szCs w:val="22"/>
          </w:rPr>
          <w:fldChar w:fldCharType="end"/>
        </w:r>
      </w:hyperlink>
    </w:p>
    <w:p w14:paraId="61243EE0"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87" w:history="1">
        <w:r w:rsidR="006B5D30" w:rsidRPr="00A21209">
          <w:rPr>
            <w:rStyle w:val="Hyperlink"/>
            <w:noProof/>
            <w:sz w:val="22"/>
            <w:szCs w:val="22"/>
            <w:lang w:val="fr-CA"/>
          </w:rPr>
          <w:t xml:space="preserve">Figure 8.6 </w:t>
        </w:r>
        <w:r w:rsidR="006B5D30" w:rsidRPr="00A21209">
          <w:rPr>
            <w:rStyle w:val="Hyperlink"/>
            <w:rFonts w:eastAsia="Times New Roman"/>
            <w:noProof/>
            <w:sz w:val="22"/>
            <w:szCs w:val="22"/>
            <w:lang w:val="fr-CA" w:eastAsia="en-CA"/>
          </w:rPr>
          <w:t>Ratio de survie relative à cinq ans normalisé selon l’âge</w:t>
        </w:r>
        <w:r w:rsidR="006B5D30" w:rsidRPr="00A21209">
          <w:rPr>
            <w:rStyle w:val="Hyperlink"/>
            <w:rFonts w:eastAsia="Times New Roman"/>
            <w:noProof/>
            <w:sz w:val="22"/>
            <w:szCs w:val="22"/>
            <w:vertAlign w:val="superscript"/>
            <w:lang w:val="fr-CA" w:eastAsia="en-CA"/>
          </w:rPr>
          <w:t xml:space="preserve">†† </w:t>
        </w:r>
        <w:r w:rsidR="006B5D30" w:rsidRPr="00A21209">
          <w:rPr>
            <w:rStyle w:val="Hyperlink"/>
            <w:rFonts w:eastAsia="Times New Roman"/>
            <w:noProof/>
            <w:sz w:val="22"/>
            <w:szCs w:val="22"/>
            <w:lang w:val="fr-CA" w:eastAsia="en-CA"/>
          </w:rPr>
          <w:t>des cas de cancer du sein, les deux sexes combinés, Canada</w:t>
        </w:r>
        <w:r w:rsidR="006B5D30" w:rsidRPr="00A21209">
          <w:rPr>
            <w:rStyle w:val="Hyperlink"/>
            <w:rFonts w:eastAsia="Times New Roman"/>
            <w:noProof/>
            <w:sz w:val="22"/>
            <w:szCs w:val="22"/>
            <w:vertAlign w:val="superscript"/>
            <w:lang w:val="fr-CA" w:eastAsia="en-CA"/>
          </w:rPr>
          <w:t>†</w:t>
        </w:r>
        <w:r w:rsidR="006B5D30" w:rsidRPr="00A21209">
          <w:rPr>
            <w:rStyle w:val="Hyperlink"/>
            <w:rFonts w:eastAsia="Times New Roman"/>
            <w:noProof/>
            <w:sz w:val="22"/>
            <w:szCs w:val="22"/>
            <w:lang w:val="fr-CA" w:eastAsia="en-CA"/>
          </w:rPr>
          <w:t xml:space="preserve"> – de 1992 à 1994 combinés et de 2006 à 2008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_Toc437589687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50</w:t>
        </w:r>
        <w:r w:rsidR="006B5D30" w:rsidRPr="00A21209">
          <w:rPr>
            <w:noProof/>
            <w:webHidden/>
            <w:sz w:val="22"/>
            <w:szCs w:val="22"/>
          </w:rPr>
          <w:fldChar w:fldCharType="end"/>
        </w:r>
      </w:hyperlink>
    </w:p>
    <w:p w14:paraId="468D0658"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88" w:history="1">
        <w:r w:rsidR="006B5D30" w:rsidRPr="00A21209">
          <w:rPr>
            <w:rStyle w:val="Hyperlink"/>
            <w:noProof/>
            <w:sz w:val="22"/>
            <w:szCs w:val="22"/>
            <w:lang w:val="fr-CA"/>
          </w:rPr>
          <w:t xml:space="preserve">Figure 8.7 </w:t>
        </w:r>
        <w:r w:rsidR="006B5D30" w:rsidRPr="00A21209">
          <w:rPr>
            <w:rStyle w:val="Hyperlink"/>
            <w:rFonts w:eastAsia="Times New Roman"/>
            <w:noProof/>
            <w:sz w:val="22"/>
            <w:szCs w:val="22"/>
            <w:lang w:val="fr-CA" w:eastAsia="en-CA"/>
          </w:rPr>
          <w:t>Taux d’incidence et de mortalité normalisés selon l’âge (population de 2011) des cas de cancer du poumon selon le sexe, Canada – de 1992 à 2011</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_Toc437589688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51</w:t>
        </w:r>
        <w:r w:rsidR="006B5D30" w:rsidRPr="00A21209">
          <w:rPr>
            <w:noProof/>
            <w:webHidden/>
            <w:sz w:val="22"/>
            <w:szCs w:val="22"/>
          </w:rPr>
          <w:fldChar w:fldCharType="end"/>
        </w:r>
      </w:hyperlink>
    </w:p>
    <w:p w14:paraId="2B39382F"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89" w:history="1">
        <w:r w:rsidR="006B5D30" w:rsidRPr="00A21209">
          <w:rPr>
            <w:rStyle w:val="Hyperlink"/>
            <w:noProof/>
            <w:sz w:val="22"/>
            <w:szCs w:val="22"/>
            <w:lang w:val="fr-CA"/>
          </w:rPr>
          <w:t xml:space="preserve">Figure 8.8 </w:t>
        </w:r>
        <w:r w:rsidR="006B5D30" w:rsidRPr="00A21209">
          <w:rPr>
            <w:rStyle w:val="Hyperlink"/>
            <w:rFonts w:eastAsia="Times New Roman"/>
            <w:noProof/>
            <w:sz w:val="22"/>
            <w:szCs w:val="22"/>
            <w:lang w:val="fr-CA" w:eastAsia="en-CA"/>
          </w:rPr>
          <w:t>Taux d’incidence normalisé selon l’âge (population de 2011) des cas de cancer du poumon selon le sexe et la province – de 2008 à 2010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_Toc437589689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52</w:t>
        </w:r>
        <w:r w:rsidR="006B5D30" w:rsidRPr="00A21209">
          <w:rPr>
            <w:noProof/>
            <w:webHidden/>
            <w:sz w:val="22"/>
            <w:szCs w:val="22"/>
          </w:rPr>
          <w:fldChar w:fldCharType="end"/>
        </w:r>
      </w:hyperlink>
    </w:p>
    <w:p w14:paraId="4D2D3139"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90" w:history="1">
        <w:r w:rsidR="006B5D30" w:rsidRPr="00A21209">
          <w:rPr>
            <w:rStyle w:val="Hyperlink"/>
            <w:noProof/>
            <w:sz w:val="22"/>
            <w:szCs w:val="22"/>
            <w:lang w:val="fr-CA"/>
          </w:rPr>
          <w:t xml:space="preserve">Figure 8.9 </w:t>
        </w:r>
        <w:r w:rsidR="006B5D30" w:rsidRPr="00A21209">
          <w:rPr>
            <w:rStyle w:val="Hyperlink"/>
            <w:rFonts w:eastAsia="Times New Roman"/>
            <w:noProof/>
            <w:sz w:val="22"/>
            <w:szCs w:val="22"/>
            <w:lang w:val="fr-CA" w:eastAsia="en-CA"/>
          </w:rPr>
          <w:t>Taux d’incidence normalisé selon l’âge (population de 2011) des cas de cancer du poumon selon le stade au diagnostic et la province – diagnostic fait entre 2010 et 2012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_Toc437589690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53</w:t>
        </w:r>
        <w:r w:rsidR="006B5D30" w:rsidRPr="00A21209">
          <w:rPr>
            <w:noProof/>
            <w:webHidden/>
            <w:sz w:val="22"/>
            <w:szCs w:val="22"/>
          </w:rPr>
          <w:fldChar w:fldCharType="end"/>
        </w:r>
      </w:hyperlink>
    </w:p>
    <w:p w14:paraId="59C642DA"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91" w:history="1">
        <w:r w:rsidR="006B5D30" w:rsidRPr="00A21209">
          <w:rPr>
            <w:rStyle w:val="Hyperlink"/>
            <w:noProof/>
            <w:sz w:val="22"/>
            <w:szCs w:val="22"/>
            <w:lang w:val="fr-CA"/>
          </w:rPr>
          <w:t xml:space="preserve">Figure 8.10 </w:t>
        </w:r>
        <w:r w:rsidR="006B5D30" w:rsidRPr="00A21209">
          <w:rPr>
            <w:rStyle w:val="Hyperlink"/>
            <w:rFonts w:eastAsia="Times New Roman"/>
            <w:noProof/>
            <w:sz w:val="22"/>
            <w:szCs w:val="22"/>
            <w:lang w:val="fr-CA" w:eastAsia="en-CA"/>
          </w:rPr>
          <w:t>Taux de mortalité normalisé selon l’âge (population de 2011) des cas de cancer du poumon selon la province – de 2009 à 2011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_Toc437589691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54</w:t>
        </w:r>
        <w:r w:rsidR="006B5D30" w:rsidRPr="00A21209">
          <w:rPr>
            <w:noProof/>
            <w:webHidden/>
            <w:sz w:val="22"/>
            <w:szCs w:val="22"/>
          </w:rPr>
          <w:fldChar w:fldCharType="end"/>
        </w:r>
      </w:hyperlink>
    </w:p>
    <w:p w14:paraId="25FF9BA9"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92" w:history="1">
        <w:r w:rsidR="006B5D30" w:rsidRPr="00A21209">
          <w:rPr>
            <w:rStyle w:val="Hyperlink"/>
            <w:noProof/>
            <w:sz w:val="22"/>
            <w:szCs w:val="22"/>
            <w:lang w:val="fr-CA"/>
          </w:rPr>
          <w:t>Figure 8.11 Ratio de survie relative à cinq ans normalisé selon l’âge† des cas de cancer du poumon selon la province – de 2006 à 2008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_Toc437589692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55</w:t>
        </w:r>
        <w:r w:rsidR="006B5D30" w:rsidRPr="00A21209">
          <w:rPr>
            <w:noProof/>
            <w:webHidden/>
            <w:sz w:val="22"/>
            <w:szCs w:val="22"/>
          </w:rPr>
          <w:fldChar w:fldCharType="end"/>
        </w:r>
      </w:hyperlink>
    </w:p>
    <w:p w14:paraId="5A035C8A"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93" w:history="1">
        <w:r w:rsidR="006B5D30" w:rsidRPr="00A21209">
          <w:rPr>
            <w:rStyle w:val="Hyperlink"/>
            <w:noProof/>
            <w:sz w:val="22"/>
            <w:szCs w:val="22"/>
            <w:lang w:val="fr-CA"/>
          </w:rPr>
          <w:t xml:space="preserve">Figure 8.12 </w:t>
        </w:r>
        <w:r w:rsidR="006B5D30" w:rsidRPr="00A21209">
          <w:rPr>
            <w:rStyle w:val="Hyperlink"/>
            <w:rFonts w:eastAsia="Times New Roman"/>
            <w:noProof/>
            <w:sz w:val="22"/>
            <w:szCs w:val="22"/>
            <w:lang w:val="fr-CA" w:eastAsia="en-CA"/>
          </w:rPr>
          <w:t>Ratio de survie relative à cinq ans normalisé selon l’âge† des cas de cancer du poumon, Canada – de 1992 à 1994 et de 2006 à 2008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_Toc437589693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56</w:t>
        </w:r>
        <w:r w:rsidR="006B5D30" w:rsidRPr="00A21209">
          <w:rPr>
            <w:noProof/>
            <w:webHidden/>
            <w:sz w:val="22"/>
            <w:szCs w:val="22"/>
          </w:rPr>
          <w:fldChar w:fldCharType="end"/>
        </w:r>
      </w:hyperlink>
    </w:p>
    <w:p w14:paraId="4E01F22C"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94" w:history="1">
        <w:r w:rsidR="006B5D30" w:rsidRPr="00A21209">
          <w:rPr>
            <w:rStyle w:val="Hyperlink"/>
            <w:noProof/>
            <w:sz w:val="22"/>
            <w:szCs w:val="22"/>
            <w:lang w:val="fr-CA"/>
          </w:rPr>
          <w:t xml:space="preserve">Figure 8.13 </w:t>
        </w:r>
        <w:r w:rsidR="006B5D30" w:rsidRPr="00A21209">
          <w:rPr>
            <w:rStyle w:val="Hyperlink"/>
            <w:rFonts w:eastAsia="Times New Roman"/>
            <w:noProof/>
            <w:sz w:val="22"/>
            <w:szCs w:val="22"/>
            <w:lang w:val="fr-CA" w:eastAsia="en-CA"/>
          </w:rPr>
          <w:t>Taux d’incidence et de mortalité normalisés selon l’âge (population de 2011) des cas de cancer colorectal selon le sexe, Canada – de 1992 à 2011</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_Toc437589694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57</w:t>
        </w:r>
        <w:r w:rsidR="006B5D30" w:rsidRPr="00A21209">
          <w:rPr>
            <w:noProof/>
            <w:webHidden/>
            <w:sz w:val="22"/>
            <w:szCs w:val="22"/>
          </w:rPr>
          <w:fldChar w:fldCharType="end"/>
        </w:r>
      </w:hyperlink>
    </w:p>
    <w:p w14:paraId="3BB46C3C"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95" w:history="1">
        <w:r w:rsidR="006B5D30" w:rsidRPr="00A21209">
          <w:rPr>
            <w:rStyle w:val="Hyperlink"/>
            <w:noProof/>
            <w:sz w:val="22"/>
            <w:szCs w:val="22"/>
            <w:lang w:val="fr-CA"/>
          </w:rPr>
          <w:t xml:space="preserve">Figure 8.14 </w:t>
        </w:r>
        <w:r w:rsidR="006B5D30" w:rsidRPr="00A21209">
          <w:rPr>
            <w:rStyle w:val="Hyperlink"/>
            <w:rFonts w:eastAsia="Times New Roman"/>
            <w:noProof/>
            <w:sz w:val="22"/>
            <w:szCs w:val="22"/>
            <w:lang w:val="fr-CA" w:eastAsia="en-CA"/>
          </w:rPr>
          <w:t>Taux d’incidence normalisé selon l’âge (population de 2011) des cas de cancer colorectal selon le sexe et la province – de 2008 à 2010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_Toc437589695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58</w:t>
        </w:r>
        <w:r w:rsidR="006B5D30" w:rsidRPr="00A21209">
          <w:rPr>
            <w:noProof/>
            <w:webHidden/>
            <w:sz w:val="22"/>
            <w:szCs w:val="22"/>
          </w:rPr>
          <w:fldChar w:fldCharType="end"/>
        </w:r>
      </w:hyperlink>
    </w:p>
    <w:p w14:paraId="13A90301"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96" w:history="1">
        <w:r w:rsidR="006B5D30" w:rsidRPr="00A21209">
          <w:rPr>
            <w:rStyle w:val="Hyperlink"/>
            <w:noProof/>
            <w:sz w:val="22"/>
            <w:szCs w:val="22"/>
            <w:lang w:val="fr-CA"/>
          </w:rPr>
          <w:t xml:space="preserve">Figure 8.15 </w:t>
        </w:r>
        <w:r w:rsidR="006B5D30" w:rsidRPr="00A21209">
          <w:rPr>
            <w:rStyle w:val="Hyperlink"/>
            <w:rFonts w:eastAsia="Times New Roman"/>
            <w:noProof/>
            <w:sz w:val="22"/>
            <w:szCs w:val="22"/>
            <w:lang w:val="fr-CA" w:eastAsia="en-CA"/>
          </w:rPr>
          <w:t>Taux d’incidence normalisé selon l’âge (population de 2011) des cas de cancer colorectal</w:t>
        </w:r>
        <w:r w:rsidR="006B5D30" w:rsidRPr="00A21209">
          <w:rPr>
            <w:rStyle w:val="Hyperlink"/>
            <w:rFonts w:eastAsia="Times New Roman"/>
            <w:noProof/>
            <w:sz w:val="22"/>
            <w:szCs w:val="22"/>
            <w:lang w:eastAsia="en-CA"/>
          </w:rPr>
          <w:t>ᶧ</w:t>
        </w:r>
        <w:r w:rsidR="006B5D30" w:rsidRPr="00A21209">
          <w:rPr>
            <w:rStyle w:val="Hyperlink"/>
            <w:rFonts w:eastAsia="Times New Roman"/>
            <w:noProof/>
            <w:sz w:val="22"/>
            <w:szCs w:val="22"/>
            <w:lang w:val="fr-CA" w:eastAsia="en-CA"/>
          </w:rPr>
          <w:t xml:space="preserve"> selon le stade au diagnostic et la province – diagnostic fait entre 2010 à 2012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_Toc437589696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59</w:t>
        </w:r>
        <w:r w:rsidR="006B5D30" w:rsidRPr="00A21209">
          <w:rPr>
            <w:noProof/>
            <w:webHidden/>
            <w:sz w:val="22"/>
            <w:szCs w:val="22"/>
          </w:rPr>
          <w:fldChar w:fldCharType="end"/>
        </w:r>
      </w:hyperlink>
    </w:p>
    <w:p w14:paraId="55E50299"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97" w:history="1">
        <w:r w:rsidR="006B5D30" w:rsidRPr="00A21209">
          <w:rPr>
            <w:rStyle w:val="Hyperlink"/>
            <w:noProof/>
            <w:sz w:val="22"/>
            <w:szCs w:val="22"/>
            <w:lang w:val="fr-CA"/>
          </w:rPr>
          <w:t xml:space="preserve">Figure 8.16 </w:t>
        </w:r>
        <w:r w:rsidR="006B5D30" w:rsidRPr="00A21209">
          <w:rPr>
            <w:rStyle w:val="Hyperlink"/>
            <w:rFonts w:eastAsia="Times New Roman"/>
            <w:noProof/>
            <w:sz w:val="22"/>
            <w:szCs w:val="22"/>
            <w:lang w:val="fr-CA" w:eastAsia="en-CA"/>
          </w:rPr>
          <w:t>Taux de mortalité normalisé selon l’âge (population de 2011) des cas de cancer colorectal selon la province – de 2009 à 2011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_Toc437589697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60</w:t>
        </w:r>
        <w:r w:rsidR="006B5D30" w:rsidRPr="00A21209">
          <w:rPr>
            <w:noProof/>
            <w:webHidden/>
            <w:sz w:val="22"/>
            <w:szCs w:val="22"/>
          </w:rPr>
          <w:fldChar w:fldCharType="end"/>
        </w:r>
      </w:hyperlink>
    </w:p>
    <w:p w14:paraId="4DA17B20"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98" w:history="1">
        <w:r w:rsidR="006B5D30" w:rsidRPr="00A21209">
          <w:rPr>
            <w:rStyle w:val="Hyperlink"/>
            <w:noProof/>
            <w:sz w:val="22"/>
            <w:szCs w:val="22"/>
            <w:lang w:val="fr-CA"/>
          </w:rPr>
          <w:t xml:space="preserve">Figure 8.17 </w:t>
        </w:r>
        <w:r w:rsidR="006B5D30" w:rsidRPr="00A21209">
          <w:rPr>
            <w:rStyle w:val="Hyperlink"/>
            <w:rFonts w:eastAsia="Times New Roman"/>
            <w:noProof/>
            <w:sz w:val="22"/>
            <w:szCs w:val="22"/>
            <w:lang w:val="fr-CA" w:eastAsia="en-CA"/>
          </w:rPr>
          <w:t>Ratio de survie relative à cinq ans normalisé selon l’âge</w:t>
        </w:r>
        <w:r w:rsidR="006B5D30" w:rsidRPr="00A21209">
          <w:rPr>
            <w:rStyle w:val="Hyperlink"/>
            <w:rFonts w:eastAsia="Times New Roman"/>
            <w:noProof/>
            <w:sz w:val="22"/>
            <w:szCs w:val="22"/>
            <w:vertAlign w:val="superscript"/>
            <w:lang w:val="fr-CA" w:eastAsia="en-CA"/>
          </w:rPr>
          <w:t xml:space="preserve">† </w:t>
        </w:r>
        <w:r w:rsidR="006B5D30" w:rsidRPr="00A21209">
          <w:rPr>
            <w:rStyle w:val="Hyperlink"/>
            <w:rFonts w:eastAsia="Times New Roman"/>
            <w:noProof/>
            <w:sz w:val="22"/>
            <w:szCs w:val="22"/>
            <w:lang w:val="fr-CA" w:eastAsia="en-CA"/>
          </w:rPr>
          <w:t>des cas de cancer colorectal selon la province – de 2006 à 2008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_Toc437589698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61</w:t>
        </w:r>
        <w:r w:rsidR="006B5D30" w:rsidRPr="00A21209">
          <w:rPr>
            <w:noProof/>
            <w:webHidden/>
            <w:sz w:val="22"/>
            <w:szCs w:val="22"/>
          </w:rPr>
          <w:fldChar w:fldCharType="end"/>
        </w:r>
      </w:hyperlink>
    </w:p>
    <w:p w14:paraId="46FD68C5"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699" w:history="1">
        <w:r w:rsidR="006B5D30" w:rsidRPr="00A21209">
          <w:rPr>
            <w:rStyle w:val="Hyperlink"/>
            <w:noProof/>
            <w:sz w:val="22"/>
            <w:szCs w:val="22"/>
            <w:lang w:val="fr-CA"/>
          </w:rPr>
          <w:t xml:space="preserve">Figure 8.18 </w:t>
        </w:r>
        <w:r w:rsidR="006B5D30" w:rsidRPr="00A21209">
          <w:rPr>
            <w:rStyle w:val="Hyperlink"/>
            <w:rFonts w:eastAsia="Times New Roman"/>
            <w:noProof/>
            <w:sz w:val="22"/>
            <w:szCs w:val="22"/>
            <w:lang w:val="fr-CA" w:eastAsia="en-CA"/>
          </w:rPr>
          <w:t>Ratio de survie relative à cinq ans normalisé selon l’âge</w:t>
        </w:r>
        <w:r w:rsidR="006B5D30" w:rsidRPr="00A21209">
          <w:rPr>
            <w:rStyle w:val="Hyperlink"/>
            <w:rFonts w:eastAsia="Times New Roman"/>
            <w:noProof/>
            <w:sz w:val="22"/>
            <w:szCs w:val="22"/>
            <w:vertAlign w:val="superscript"/>
            <w:lang w:val="fr-CA" w:eastAsia="en-CA"/>
          </w:rPr>
          <w:t xml:space="preserve">†† </w:t>
        </w:r>
        <w:r w:rsidR="006B5D30" w:rsidRPr="00A21209">
          <w:rPr>
            <w:rStyle w:val="Hyperlink"/>
            <w:rFonts w:eastAsia="Times New Roman"/>
            <w:noProof/>
            <w:sz w:val="22"/>
            <w:szCs w:val="22"/>
            <w:lang w:val="fr-CA" w:eastAsia="en-CA"/>
          </w:rPr>
          <w:t>des cas de cancer colorectal, Canada – de 1992 à 1994 combinés et de 2006 à 2008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_Toc437589699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62</w:t>
        </w:r>
        <w:r w:rsidR="006B5D30" w:rsidRPr="00A21209">
          <w:rPr>
            <w:noProof/>
            <w:webHidden/>
            <w:sz w:val="22"/>
            <w:szCs w:val="22"/>
          </w:rPr>
          <w:fldChar w:fldCharType="end"/>
        </w:r>
      </w:hyperlink>
    </w:p>
    <w:p w14:paraId="02A927DC"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700" w:history="1">
        <w:r w:rsidR="006B5D30" w:rsidRPr="00A21209">
          <w:rPr>
            <w:rStyle w:val="Hyperlink"/>
            <w:noProof/>
            <w:sz w:val="22"/>
            <w:szCs w:val="22"/>
            <w:lang w:val="fr-CA"/>
          </w:rPr>
          <w:t xml:space="preserve">Figure 8.19 </w:t>
        </w:r>
        <w:r w:rsidR="006B5D30" w:rsidRPr="00A21209">
          <w:rPr>
            <w:rStyle w:val="Hyperlink"/>
            <w:rFonts w:eastAsia="Times New Roman"/>
            <w:noProof/>
            <w:sz w:val="22"/>
            <w:szCs w:val="22"/>
            <w:lang w:val="fr-CA" w:eastAsia="en-CA"/>
          </w:rPr>
          <w:t>Taux d’incidence et de mortalité normalisés selon l’âge (population de 2011) des cas de cancer de la prostate, Canada – de 1992 à 2011</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_Toc437589700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63</w:t>
        </w:r>
        <w:r w:rsidR="006B5D30" w:rsidRPr="00A21209">
          <w:rPr>
            <w:noProof/>
            <w:webHidden/>
            <w:sz w:val="22"/>
            <w:szCs w:val="22"/>
          </w:rPr>
          <w:fldChar w:fldCharType="end"/>
        </w:r>
      </w:hyperlink>
    </w:p>
    <w:p w14:paraId="2E6AD1AE"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701" w:history="1">
        <w:r w:rsidR="006B5D30" w:rsidRPr="00A21209">
          <w:rPr>
            <w:rStyle w:val="Hyperlink"/>
            <w:noProof/>
            <w:sz w:val="22"/>
            <w:szCs w:val="22"/>
            <w:lang w:val="fr-CA"/>
          </w:rPr>
          <w:t xml:space="preserve">Figure 8.20 </w:t>
        </w:r>
        <w:r w:rsidR="006B5D30" w:rsidRPr="00A21209">
          <w:rPr>
            <w:rStyle w:val="Hyperlink"/>
            <w:rFonts w:eastAsia="Times New Roman"/>
            <w:noProof/>
            <w:sz w:val="22"/>
            <w:szCs w:val="22"/>
            <w:lang w:val="fr-CA" w:eastAsia="en-CA"/>
          </w:rPr>
          <w:t>Taux d’incidence normalisé selon l’âge (population de 2011) des cas de cancer de la prostate selon la province – de 2008 à 2010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_Toc437589701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64</w:t>
        </w:r>
        <w:r w:rsidR="006B5D30" w:rsidRPr="00A21209">
          <w:rPr>
            <w:noProof/>
            <w:webHidden/>
            <w:sz w:val="22"/>
            <w:szCs w:val="22"/>
          </w:rPr>
          <w:fldChar w:fldCharType="end"/>
        </w:r>
      </w:hyperlink>
    </w:p>
    <w:p w14:paraId="52FAC0E0"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702" w:history="1">
        <w:r w:rsidR="006B5D30" w:rsidRPr="00A21209">
          <w:rPr>
            <w:rStyle w:val="Hyperlink"/>
            <w:noProof/>
            <w:sz w:val="22"/>
            <w:szCs w:val="22"/>
            <w:lang w:val="fr-CA"/>
          </w:rPr>
          <w:t xml:space="preserve">Figure 8.21 </w:t>
        </w:r>
        <w:r w:rsidR="006B5D30" w:rsidRPr="00A21209">
          <w:rPr>
            <w:rStyle w:val="Hyperlink"/>
            <w:rFonts w:eastAsia="Times New Roman"/>
            <w:noProof/>
            <w:sz w:val="22"/>
            <w:szCs w:val="22"/>
            <w:lang w:val="fr-CA" w:eastAsia="en-CA"/>
          </w:rPr>
          <w:t>Taux d’incidence normalisé selon l’âge (population de 2011) des cas de cancer de la prostate selon le stade au diagnostic et la province – diagnostic fait entre 2010 à 2012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_Toc437589702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65</w:t>
        </w:r>
        <w:r w:rsidR="006B5D30" w:rsidRPr="00A21209">
          <w:rPr>
            <w:noProof/>
            <w:webHidden/>
            <w:sz w:val="22"/>
            <w:szCs w:val="22"/>
          </w:rPr>
          <w:fldChar w:fldCharType="end"/>
        </w:r>
      </w:hyperlink>
    </w:p>
    <w:p w14:paraId="78C638D9"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703" w:history="1">
        <w:r w:rsidR="006B5D30" w:rsidRPr="00A21209">
          <w:rPr>
            <w:rStyle w:val="Hyperlink"/>
            <w:noProof/>
            <w:sz w:val="22"/>
            <w:szCs w:val="22"/>
            <w:lang w:val="fr-CA"/>
          </w:rPr>
          <w:t xml:space="preserve">Figure 8.22 </w:t>
        </w:r>
        <w:r w:rsidR="006B5D30" w:rsidRPr="00A21209">
          <w:rPr>
            <w:rStyle w:val="Hyperlink"/>
            <w:rFonts w:eastAsia="Times New Roman"/>
            <w:noProof/>
            <w:sz w:val="22"/>
            <w:szCs w:val="22"/>
            <w:lang w:val="fr-CA" w:eastAsia="en-CA"/>
          </w:rPr>
          <w:t>Taux de mortalité normalisé selon l’âge (population de 2011) des cas de cancer de la prostate selon la province – de 2009 à 2011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_Toc437589703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66</w:t>
        </w:r>
        <w:r w:rsidR="006B5D30" w:rsidRPr="00A21209">
          <w:rPr>
            <w:noProof/>
            <w:webHidden/>
            <w:sz w:val="22"/>
            <w:szCs w:val="22"/>
          </w:rPr>
          <w:fldChar w:fldCharType="end"/>
        </w:r>
      </w:hyperlink>
    </w:p>
    <w:p w14:paraId="677FD71D"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704" w:history="1">
        <w:r w:rsidR="006B5D30" w:rsidRPr="00A21209">
          <w:rPr>
            <w:rStyle w:val="Hyperlink"/>
            <w:noProof/>
            <w:sz w:val="22"/>
            <w:szCs w:val="22"/>
            <w:lang w:val="fr-CA"/>
          </w:rPr>
          <w:t xml:space="preserve">Figure 8.23 </w:t>
        </w:r>
        <w:r w:rsidR="006B5D30" w:rsidRPr="00A21209">
          <w:rPr>
            <w:rStyle w:val="Hyperlink"/>
            <w:rFonts w:eastAsia="Times New Roman"/>
            <w:noProof/>
            <w:sz w:val="22"/>
            <w:szCs w:val="22"/>
            <w:lang w:val="fr-CA" w:eastAsia="en-CA"/>
          </w:rPr>
          <w:t>Taux d’incidence et de mortalité normalisés selon l’âge (population de 2011) des cas de cancer du pancréas selon le sexe, Canada – de 1992 à 2011</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_Toc437589704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67</w:t>
        </w:r>
        <w:r w:rsidR="006B5D30" w:rsidRPr="00A21209">
          <w:rPr>
            <w:noProof/>
            <w:webHidden/>
            <w:sz w:val="22"/>
            <w:szCs w:val="22"/>
          </w:rPr>
          <w:fldChar w:fldCharType="end"/>
        </w:r>
      </w:hyperlink>
    </w:p>
    <w:p w14:paraId="2E6C5E29"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705" w:history="1">
        <w:r w:rsidR="006B5D30" w:rsidRPr="00A21209">
          <w:rPr>
            <w:rStyle w:val="Hyperlink"/>
            <w:noProof/>
            <w:sz w:val="22"/>
            <w:szCs w:val="22"/>
            <w:lang w:val="fr-CA"/>
          </w:rPr>
          <w:t xml:space="preserve">Figure 8.24 </w:t>
        </w:r>
        <w:r w:rsidR="006B5D30" w:rsidRPr="00A21209">
          <w:rPr>
            <w:rStyle w:val="Hyperlink"/>
            <w:rFonts w:eastAsia="Times New Roman"/>
            <w:noProof/>
            <w:sz w:val="22"/>
            <w:szCs w:val="22"/>
            <w:lang w:val="fr-CA" w:eastAsia="en-CA"/>
          </w:rPr>
          <w:t>Taux d’incidence normalisé selon l’âge (population de 2011) des cas de cancer du pancréas selon la province – de 2008 à 2010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_Toc437589705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68</w:t>
        </w:r>
        <w:r w:rsidR="006B5D30" w:rsidRPr="00A21209">
          <w:rPr>
            <w:noProof/>
            <w:webHidden/>
            <w:sz w:val="22"/>
            <w:szCs w:val="22"/>
          </w:rPr>
          <w:fldChar w:fldCharType="end"/>
        </w:r>
      </w:hyperlink>
    </w:p>
    <w:p w14:paraId="0E651095"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706" w:history="1">
        <w:r w:rsidR="006B5D30" w:rsidRPr="00A21209">
          <w:rPr>
            <w:rStyle w:val="Hyperlink"/>
            <w:noProof/>
            <w:sz w:val="22"/>
            <w:szCs w:val="22"/>
            <w:lang w:val="fr-CA"/>
          </w:rPr>
          <w:t xml:space="preserve">Figure 8.25 </w:t>
        </w:r>
        <w:r w:rsidR="006B5D30" w:rsidRPr="00A21209">
          <w:rPr>
            <w:rStyle w:val="Hyperlink"/>
            <w:rFonts w:eastAsia="Times New Roman"/>
            <w:noProof/>
            <w:sz w:val="22"/>
            <w:szCs w:val="22"/>
            <w:lang w:val="fr-CA" w:eastAsia="en-CA"/>
          </w:rPr>
          <w:t>Taux de mortalité normalisés selon l’âge (population de 2011) des cas de cancer du pancréas selon la province – de 2009 à 2011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_Toc437589706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69</w:t>
        </w:r>
        <w:r w:rsidR="006B5D30" w:rsidRPr="00A21209">
          <w:rPr>
            <w:noProof/>
            <w:webHidden/>
            <w:sz w:val="22"/>
            <w:szCs w:val="22"/>
          </w:rPr>
          <w:fldChar w:fldCharType="end"/>
        </w:r>
      </w:hyperlink>
    </w:p>
    <w:p w14:paraId="5639D4C2"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707" w:history="1">
        <w:r w:rsidR="006B5D30" w:rsidRPr="00A21209">
          <w:rPr>
            <w:rStyle w:val="Hyperlink"/>
            <w:noProof/>
            <w:sz w:val="22"/>
            <w:szCs w:val="22"/>
            <w:lang w:val="fr-CA"/>
          </w:rPr>
          <w:t xml:space="preserve">Figure 8.26 </w:t>
        </w:r>
        <w:r w:rsidR="006B5D30" w:rsidRPr="00A21209">
          <w:rPr>
            <w:rStyle w:val="Hyperlink"/>
            <w:rFonts w:eastAsia="Times New Roman"/>
            <w:noProof/>
            <w:sz w:val="22"/>
            <w:szCs w:val="22"/>
            <w:lang w:val="fr-CA" w:eastAsia="en-CA"/>
          </w:rPr>
          <w:t>Ratio de survie relative à cinq ans normalisé selon l’âge</w:t>
        </w:r>
        <w:r w:rsidR="006B5D30" w:rsidRPr="00A21209">
          <w:rPr>
            <w:rStyle w:val="Hyperlink"/>
            <w:rFonts w:eastAsia="Times New Roman"/>
            <w:noProof/>
            <w:sz w:val="22"/>
            <w:szCs w:val="22"/>
            <w:vertAlign w:val="superscript"/>
            <w:lang w:val="fr-CA" w:eastAsia="en-CA"/>
          </w:rPr>
          <w:t xml:space="preserve">† </w:t>
        </w:r>
        <w:r w:rsidR="006B5D30" w:rsidRPr="00A21209">
          <w:rPr>
            <w:rStyle w:val="Hyperlink"/>
            <w:rFonts w:eastAsia="Times New Roman"/>
            <w:noProof/>
            <w:sz w:val="22"/>
            <w:szCs w:val="22"/>
            <w:lang w:val="fr-CA" w:eastAsia="en-CA"/>
          </w:rPr>
          <w:t>des cas de cancer du pancréas selon la province – de 2005 à 2007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_Toc437589707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70</w:t>
        </w:r>
        <w:r w:rsidR="006B5D30" w:rsidRPr="00A21209">
          <w:rPr>
            <w:noProof/>
            <w:webHidden/>
            <w:sz w:val="22"/>
            <w:szCs w:val="22"/>
          </w:rPr>
          <w:fldChar w:fldCharType="end"/>
        </w:r>
      </w:hyperlink>
    </w:p>
    <w:p w14:paraId="03A3EBE6"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708" w:history="1">
        <w:r w:rsidR="006B5D30" w:rsidRPr="00A21209">
          <w:rPr>
            <w:rStyle w:val="Hyperlink"/>
            <w:noProof/>
            <w:sz w:val="22"/>
            <w:szCs w:val="22"/>
            <w:lang w:val="fr-CA"/>
          </w:rPr>
          <w:t xml:space="preserve">Figure 8.27 </w:t>
        </w:r>
        <w:r w:rsidR="006B5D30" w:rsidRPr="00A21209">
          <w:rPr>
            <w:rStyle w:val="Hyperlink"/>
            <w:rFonts w:eastAsia="Times New Roman"/>
            <w:noProof/>
            <w:sz w:val="22"/>
            <w:szCs w:val="22"/>
            <w:lang w:val="fr-CA" w:eastAsia="en-CA"/>
          </w:rPr>
          <w:t>Ratio de survie relative à cinq ans normalisé selon l’âge</w:t>
        </w:r>
        <w:r w:rsidR="006B5D30" w:rsidRPr="00A21209">
          <w:rPr>
            <w:rStyle w:val="Hyperlink"/>
            <w:rFonts w:eastAsia="Times New Roman"/>
            <w:noProof/>
            <w:sz w:val="22"/>
            <w:szCs w:val="22"/>
            <w:vertAlign w:val="superscript"/>
            <w:lang w:val="fr-CA" w:eastAsia="en-CA"/>
          </w:rPr>
          <w:t xml:space="preserve">††  </w:t>
        </w:r>
        <w:r w:rsidR="006B5D30" w:rsidRPr="00A21209">
          <w:rPr>
            <w:rStyle w:val="Hyperlink"/>
            <w:rFonts w:eastAsia="Times New Roman"/>
            <w:noProof/>
            <w:sz w:val="22"/>
            <w:szCs w:val="22"/>
            <w:lang w:val="fr-CA" w:eastAsia="en-CA"/>
          </w:rPr>
          <w:t>des cas de cancer du pancréas, Canada</w:t>
        </w:r>
        <w:r w:rsidR="006B5D30" w:rsidRPr="00A21209">
          <w:rPr>
            <w:rStyle w:val="Hyperlink"/>
            <w:rFonts w:eastAsia="Times New Roman"/>
            <w:noProof/>
            <w:sz w:val="22"/>
            <w:szCs w:val="22"/>
            <w:vertAlign w:val="superscript"/>
            <w:lang w:val="fr-CA" w:eastAsia="en-CA"/>
          </w:rPr>
          <w:t xml:space="preserve">† </w:t>
        </w:r>
        <w:r w:rsidR="006B5D30" w:rsidRPr="00A21209">
          <w:rPr>
            <w:rStyle w:val="Hyperlink"/>
            <w:rFonts w:eastAsia="Times New Roman"/>
            <w:noProof/>
            <w:sz w:val="22"/>
            <w:szCs w:val="22"/>
            <w:lang w:val="fr-CA" w:eastAsia="en-CA"/>
          </w:rPr>
          <w:t xml:space="preserve"> – de 1992 à 1994  combinés et de 2006 à 2008 combinés</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_Toc437589708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71</w:t>
        </w:r>
        <w:r w:rsidR="006B5D30" w:rsidRPr="00A21209">
          <w:rPr>
            <w:noProof/>
            <w:webHidden/>
            <w:sz w:val="22"/>
            <w:szCs w:val="22"/>
          </w:rPr>
          <w:fldChar w:fldCharType="end"/>
        </w:r>
      </w:hyperlink>
    </w:p>
    <w:p w14:paraId="429D8CBA"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709" w:history="1">
        <w:r w:rsidR="006B5D30" w:rsidRPr="00A21209">
          <w:rPr>
            <w:rStyle w:val="Hyperlink"/>
            <w:noProof/>
            <w:sz w:val="22"/>
            <w:szCs w:val="22"/>
            <w:lang w:val="fr-CA"/>
          </w:rPr>
          <w:t xml:space="preserve">Tableau 1.1 </w:t>
        </w:r>
        <w:r w:rsidR="006B5D30" w:rsidRPr="00A21209">
          <w:rPr>
            <w:rStyle w:val="Hyperlink"/>
            <w:rFonts w:eastAsia="Times New Roman"/>
            <w:noProof/>
            <w:sz w:val="22"/>
            <w:szCs w:val="22"/>
            <w:lang w:val="fr-CA" w:eastAsia="en-CA"/>
          </w:rPr>
          <w:t>Mise en œuvre et utilisation des programmes organisés d'immunisation contre le virus du papillome humain VPH destinés aux filles, selon la province ou le territoire</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_Toc437589709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72</w:t>
        </w:r>
        <w:r w:rsidR="006B5D30" w:rsidRPr="00A21209">
          <w:rPr>
            <w:noProof/>
            <w:webHidden/>
            <w:sz w:val="22"/>
            <w:szCs w:val="22"/>
          </w:rPr>
          <w:fldChar w:fldCharType="end"/>
        </w:r>
      </w:hyperlink>
    </w:p>
    <w:p w14:paraId="312CA1EC"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710" w:history="1">
        <w:r w:rsidR="006B5D30" w:rsidRPr="00A21209">
          <w:rPr>
            <w:rStyle w:val="Hyperlink"/>
            <w:noProof/>
            <w:sz w:val="22"/>
            <w:szCs w:val="22"/>
            <w:lang w:val="fr-CA"/>
          </w:rPr>
          <w:t xml:space="preserve">Tableau 4.1 </w:t>
        </w:r>
        <w:r w:rsidR="006B5D30" w:rsidRPr="00A21209">
          <w:rPr>
            <w:rStyle w:val="Hyperlink"/>
            <w:rFonts w:eastAsia="Times New Roman"/>
            <w:noProof/>
            <w:sz w:val="22"/>
            <w:szCs w:val="22"/>
            <w:lang w:val="fr-CA" w:eastAsia="en-CA"/>
          </w:rPr>
          <w:t>Pourcentage des patients traités en radiothérapie à l'intérieur du délai cible, pour les quatre types de cancers les plus fréquents et tous les cancers, selon la province – traitement suivi en 2013</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_Toc437589710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73</w:t>
        </w:r>
        <w:r w:rsidR="006B5D30" w:rsidRPr="00A21209">
          <w:rPr>
            <w:noProof/>
            <w:webHidden/>
            <w:sz w:val="22"/>
            <w:szCs w:val="22"/>
          </w:rPr>
          <w:fldChar w:fldCharType="end"/>
        </w:r>
      </w:hyperlink>
    </w:p>
    <w:p w14:paraId="184CB939"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711" w:history="1">
        <w:r w:rsidR="006B5D30" w:rsidRPr="00A21209">
          <w:rPr>
            <w:rStyle w:val="Hyperlink"/>
            <w:noProof/>
            <w:sz w:val="22"/>
            <w:szCs w:val="22"/>
            <w:lang w:val="fr-CA"/>
          </w:rPr>
          <w:t xml:space="preserve">Tableau 5.1 </w:t>
        </w:r>
        <w:r w:rsidR="006B5D30" w:rsidRPr="00A21209">
          <w:rPr>
            <w:rStyle w:val="Hyperlink"/>
            <w:rFonts w:eastAsia="Times New Roman"/>
            <w:noProof/>
            <w:sz w:val="22"/>
            <w:szCs w:val="22"/>
            <w:lang w:val="fr-CA" w:eastAsia="en-CA"/>
          </w:rPr>
          <w:t>Étendue de l’utilisation d’outils normalisés de dépistage de la détresse dans les cliniques des organismes et programmes provinciaux de lutte contre le cancer - 2014</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_Toc437589711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74</w:t>
        </w:r>
        <w:r w:rsidR="006B5D30" w:rsidRPr="00A21209">
          <w:rPr>
            <w:noProof/>
            <w:webHidden/>
            <w:sz w:val="22"/>
            <w:szCs w:val="22"/>
          </w:rPr>
          <w:fldChar w:fldCharType="end"/>
        </w:r>
      </w:hyperlink>
    </w:p>
    <w:p w14:paraId="526A750E" w14:textId="77777777" w:rsidR="006B5D30" w:rsidRPr="00A21209" w:rsidRDefault="00EE4352" w:rsidP="00A21209">
      <w:pPr>
        <w:pStyle w:val="TableofFigures"/>
        <w:numPr>
          <w:ilvl w:val="0"/>
          <w:numId w:val="1"/>
        </w:numPr>
        <w:tabs>
          <w:tab w:val="right" w:pos="12946"/>
        </w:tabs>
        <w:rPr>
          <w:rFonts w:eastAsiaTheme="minorEastAsia"/>
          <w:b w:val="0"/>
          <w:bCs w:val="0"/>
          <w:noProof/>
          <w:sz w:val="22"/>
          <w:szCs w:val="22"/>
          <w:lang w:val="en-US"/>
        </w:rPr>
      </w:pPr>
      <w:hyperlink w:anchor="_Toc437589712" w:history="1">
        <w:r w:rsidR="006B5D30" w:rsidRPr="00A21209">
          <w:rPr>
            <w:rStyle w:val="Hyperlink"/>
            <w:noProof/>
            <w:sz w:val="22"/>
            <w:szCs w:val="22"/>
            <w:lang w:val="fr-CA"/>
          </w:rPr>
          <w:t xml:space="preserve">Tableau 8.1 </w:t>
        </w:r>
        <w:r w:rsidR="006B5D30" w:rsidRPr="00A21209">
          <w:rPr>
            <w:rStyle w:val="Hyperlink"/>
            <w:rFonts w:eastAsia="Times New Roman"/>
            <w:noProof/>
            <w:sz w:val="22"/>
            <w:szCs w:val="22"/>
            <w:lang w:val="fr-CA" w:eastAsia="en-CA"/>
          </w:rPr>
          <w:t>Pourcentage des cas dont le stade est inconnu</w:t>
        </w:r>
        <w:r w:rsidR="006B5D30" w:rsidRPr="00A21209">
          <w:rPr>
            <w:rStyle w:val="Hyperlink"/>
            <w:rFonts w:eastAsia="Times New Roman"/>
            <w:noProof/>
            <w:sz w:val="22"/>
            <w:szCs w:val="22"/>
            <w:lang w:eastAsia="en-CA"/>
          </w:rPr>
          <w:t>ᶧ</w:t>
        </w:r>
        <w:r w:rsidR="006B5D30" w:rsidRPr="00A21209">
          <w:rPr>
            <w:rStyle w:val="Hyperlink"/>
            <w:rFonts w:eastAsia="Times New Roman"/>
            <w:noProof/>
            <w:sz w:val="22"/>
            <w:szCs w:val="22"/>
            <w:lang w:val="fr-CA" w:eastAsia="en-CA"/>
          </w:rPr>
          <w:t>, selon le siège de la maladie et la province - de 2010 à 2012</w:t>
        </w:r>
        <w:r w:rsidR="006B5D30" w:rsidRPr="00A21209">
          <w:rPr>
            <w:noProof/>
            <w:webHidden/>
            <w:sz w:val="22"/>
            <w:szCs w:val="22"/>
          </w:rPr>
          <w:tab/>
        </w:r>
        <w:r w:rsidR="006B5D30" w:rsidRPr="00A21209">
          <w:rPr>
            <w:noProof/>
            <w:webHidden/>
            <w:sz w:val="22"/>
            <w:szCs w:val="22"/>
          </w:rPr>
          <w:fldChar w:fldCharType="begin"/>
        </w:r>
        <w:r w:rsidR="006B5D30" w:rsidRPr="00A21209">
          <w:rPr>
            <w:noProof/>
            <w:webHidden/>
            <w:sz w:val="22"/>
            <w:szCs w:val="22"/>
          </w:rPr>
          <w:instrText xml:space="preserve"> PAGEREF _Toc437589712 \h </w:instrText>
        </w:r>
        <w:r w:rsidR="006B5D30" w:rsidRPr="00A21209">
          <w:rPr>
            <w:noProof/>
            <w:webHidden/>
            <w:sz w:val="22"/>
            <w:szCs w:val="22"/>
          </w:rPr>
        </w:r>
        <w:r w:rsidR="006B5D30" w:rsidRPr="00A21209">
          <w:rPr>
            <w:noProof/>
            <w:webHidden/>
            <w:sz w:val="22"/>
            <w:szCs w:val="22"/>
          </w:rPr>
          <w:fldChar w:fldCharType="separate"/>
        </w:r>
        <w:r w:rsidR="006B5D30" w:rsidRPr="00A21209">
          <w:rPr>
            <w:noProof/>
            <w:webHidden/>
            <w:sz w:val="22"/>
            <w:szCs w:val="22"/>
          </w:rPr>
          <w:t>75</w:t>
        </w:r>
        <w:r w:rsidR="006B5D30" w:rsidRPr="00A21209">
          <w:rPr>
            <w:noProof/>
            <w:webHidden/>
            <w:sz w:val="22"/>
            <w:szCs w:val="22"/>
          </w:rPr>
          <w:fldChar w:fldCharType="end"/>
        </w:r>
      </w:hyperlink>
    </w:p>
    <w:p w14:paraId="59198083" w14:textId="77777777" w:rsidR="00113C3A" w:rsidRDefault="003C4C8E" w:rsidP="00A21209">
      <w:pPr>
        <w:pStyle w:val="ListParagraph"/>
        <w:rPr>
          <w:rFonts w:eastAsiaTheme="majorEastAsia" w:cstheme="majorBidi"/>
          <w:sz w:val="32"/>
          <w:szCs w:val="32"/>
          <w:lang w:val="fr-CA"/>
        </w:rPr>
      </w:pPr>
      <w:r w:rsidRPr="00A21209">
        <w:rPr>
          <w:lang w:val="fr-CA"/>
        </w:rPr>
        <w:fldChar w:fldCharType="end"/>
      </w:r>
      <w:r w:rsidR="00113C3A">
        <w:rPr>
          <w:lang w:val="fr-CA"/>
        </w:rPr>
        <w:br w:type="page"/>
      </w:r>
    </w:p>
    <w:p w14:paraId="4264070B" w14:textId="77777777" w:rsidR="00C27F78" w:rsidRPr="00C27F78" w:rsidRDefault="00C27F78" w:rsidP="006B5D30">
      <w:pPr>
        <w:pStyle w:val="Heading1"/>
        <w:rPr>
          <w:lang w:val="fr-CA"/>
        </w:rPr>
      </w:pPr>
      <w:bookmarkStart w:id="1" w:name="_Toc437579061"/>
      <w:bookmarkStart w:id="2" w:name="_Toc437589642"/>
      <w:r w:rsidRPr="00C27F78">
        <w:rPr>
          <w:lang w:val="fr-CA"/>
        </w:rPr>
        <w:lastRenderedPageBreak/>
        <w:t xml:space="preserve">Figure 1.1 </w:t>
      </w:r>
      <w:proofErr w:type="spellStart"/>
      <w:r w:rsidRPr="006B5D30">
        <w:t>Pourcentage</w:t>
      </w:r>
      <w:proofErr w:type="spellEnd"/>
      <w:r w:rsidRPr="00C27F78">
        <w:rPr>
          <w:lang w:val="fr-CA"/>
        </w:rPr>
        <w:t xml:space="preserve"> de la population (≥ 12 ans) déclarant fumer tous les jours ou à l'occasion selon la province ou le territoire – déclaration faite en 2013</w:t>
      </w:r>
      <w:bookmarkEnd w:id="1"/>
      <w:bookmarkEnd w:id="2"/>
    </w:p>
    <w:p w14:paraId="126F0897" w14:textId="77777777" w:rsidR="00C27F78" w:rsidRDefault="00C27F78" w:rsidP="006B5D30">
      <w:pPr>
        <w:jc w:val="center"/>
      </w:pPr>
      <w:r>
        <w:rPr>
          <w:noProof/>
          <w:lang w:val="en-US"/>
        </w:rPr>
        <w:drawing>
          <wp:inline distT="0" distB="0" distL="0" distR="0" wp14:anchorId="31935FED" wp14:editId="7DD3D325">
            <wp:extent cx="5958840" cy="4535424"/>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ystemsPerformanceReport2015_FR_Fig1.1.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58840" cy="4535424"/>
                    </a:xfrm>
                    <a:prstGeom prst="rect">
                      <a:avLst/>
                    </a:prstGeom>
                  </pic:spPr>
                </pic:pic>
              </a:graphicData>
            </a:graphic>
          </wp:inline>
        </w:drawing>
      </w:r>
    </w:p>
    <w:p w14:paraId="48A9494B" w14:textId="77777777" w:rsidR="00C27F78" w:rsidRDefault="00C27F78" w:rsidP="006B5D30">
      <w:pPr>
        <w:jc w:val="center"/>
      </w:pPr>
      <w:r>
        <w:br w:type="page"/>
      </w:r>
    </w:p>
    <w:p w14:paraId="216DA42E" w14:textId="77777777" w:rsidR="00C27F78" w:rsidRPr="00113C3A" w:rsidRDefault="00C27F78" w:rsidP="006B5D30">
      <w:pPr>
        <w:pStyle w:val="Heading1"/>
        <w:rPr>
          <w:lang w:val="fr-CA"/>
        </w:rPr>
      </w:pPr>
      <w:bookmarkStart w:id="3" w:name="_Toc437589643"/>
      <w:r w:rsidRPr="00113C3A">
        <w:rPr>
          <w:lang w:val="fr-CA"/>
        </w:rPr>
        <w:lastRenderedPageBreak/>
        <w:t>Figure 1.2 Pourcentage de la population (≥ 12 ans) selon les habitudes de tabagisme et le sexe, Canada – déclaration faite en 2013</w:t>
      </w:r>
      <w:bookmarkEnd w:id="3"/>
    </w:p>
    <w:p w14:paraId="06403BB3" w14:textId="77777777" w:rsidR="00C27F78" w:rsidRDefault="00C27F78" w:rsidP="006B5D30">
      <w:pPr>
        <w:jc w:val="center"/>
      </w:pPr>
      <w:r>
        <w:rPr>
          <w:noProof/>
          <w:lang w:val="en-US"/>
        </w:rPr>
        <w:drawing>
          <wp:inline distT="0" distB="0" distL="0" distR="0" wp14:anchorId="425840A8" wp14:editId="4EB53D94">
            <wp:extent cx="4547616" cy="4611624"/>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ystemsPerformanceReport2015_FR_Fig1.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547616" cy="4611624"/>
                    </a:xfrm>
                    <a:prstGeom prst="rect">
                      <a:avLst/>
                    </a:prstGeom>
                  </pic:spPr>
                </pic:pic>
              </a:graphicData>
            </a:graphic>
          </wp:inline>
        </w:drawing>
      </w:r>
    </w:p>
    <w:p w14:paraId="693F0456" w14:textId="77777777" w:rsidR="00C27F78" w:rsidRDefault="00C27F78" w:rsidP="006B5D30">
      <w:pPr>
        <w:jc w:val="center"/>
      </w:pPr>
      <w:r>
        <w:br w:type="page"/>
      </w:r>
    </w:p>
    <w:p w14:paraId="31964DEE" w14:textId="77777777" w:rsidR="00C27F78" w:rsidRPr="00C27F78" w:rsidRDefault="00C27F78" w:rsidP="006B5D30">
      <w:pPr>
        <w:pStyle w:val="Heading1"/>
        <w:rPr>
          <w:rFonts w:eastAsia="Times New Roman"/>
          <w:lang w:val="fr-CA" w:eastAsia="en-CA"/>
        </w:rPr>
      </w:pPr>
      <w:bookmarkStart w:id="4" w:name="_Toc437579063"/>
      <w:bookmarkStart w:id="5" w:name="_Toc437589644"/>
      <w:r w:rsidRPr="00C27F78">
        <w:rPr>
          <w:lang w:val="fr-CA"/>
        </w:rPr>
        <w:lastRenderedPageBreak/>
        <w:t xml:space="preserve">Figure 1.i </w:t>
      </w:r>
      <w:r w:rsidRPr="00C27F78">
        <w:rPr>
          <w:rFonts w:eastAsia="Times New Roman"/>
          <w:lang w:val="fr-CA" w:eastAsia="en-CA"/>
        </w:rPr>
        <w:t>Pourcentage des adultes (≥ 18 ans) ayant déclaré avoir utilisé le transport actif au cours des trois mois précédents, selon la province ou le territoire – déclaration faite en 2013</w:t>
      </w:r>
      <w:bookmarkEnd w:id="4"/>
      <w:bookmarkEnd w:id="5"/>
    </w:p>
    <w:p w14:paraId="6E387282" w14:textId="77777777" w:rsidR="00C27F78" w:rsidRDefault="00C27F78" w:rsidP="006B5D30">
      <w:pPr>
        <w:jc w:val="center"/>
      </w:pPr>
      <w:r>
        <w:rPr>
          <w:noProof/>
          <w:lang w:val="en-US"/>
        </w:rPr>
        <w:drawing>
          <wp:inline distT="0" distB="0" distL="0" distR="0" wp14:anchorId="1A083AB9" wp14:editId="48C18A85">
            <wp:extent cx="6644640" cy="4142232"/>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ystemsPerformanceReport2015_FR_Fig1.i.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4640" cy="4142232"/>
                    </a:xfrm>
                    <a:prstGeom prst="rect">
                      <a:avLst/>
                    </a:prstGeom>
                  </pic:spPr>
                </pic:pic>
              </a:graphicData>
            </a:graphic>
          </wp:inline>
        </w:drawing>
      </w:r>
    </w:p>
    <w:p w14:paraId="068DD745" w14:textId="77777777" w:rsidR="00C27F78" w:rsidRDefault="00C27F78" w:rsidP="006B5D30">
      <w:pPr>
        <w:jc w:val="center"/>
      </w:pPr>
      <w:r>
        <w:br w:type="page"/>
      </w:r>
    </w:p>
    <w:p w14:paraId="0A88373B" w14:textId="77777777" w:rsidR="00C27F78" w:rsidRPr="00C27F78" w:rsidRDefault="00C27F78" w:rsidP="006B5D30">
      <w:pPr>
        <w:pStyle w:val="Heading1"/>
        <w:rPr>
          <w:rFonts w:eastAsia="Times New Roman"/>
          <w:lang w:val="fr-CA" w:eastAsia="en-CA"/>
        </w:rPr>
      </w:pPr>
      <w:bookmarkStart w:id="6" w:name="_Toc437589645"/>
      <w:r w:rsidRPr="00C27F78">
        <w:rPr>
          <w:lang w:val="fr-CA"/>
        </w:rPr>
        <w:lastRenderedPageBreak/>
        <w:t xml:space="preserve">Figure 1.ii </w:t>
      </w:r>
      <w:r w:rsidRPr="00C27F78">
        <w:rPr>
          <w:rFonts w:eastAsia="Times New Roman"/>
          <w:lang w:val="fr-CA" w:eastAsia="en-CA"/>
        </w:rPr>
        <w:t>Pourcentage de la population ayant déclaré avoir utilisé le transport actif au cours des trois mois précédents, selon le groupe d'âge – déclaration faite en 2013</w:t>
      </w:r>
      <w:bookmarkEnd w:id="6"/>
    </w:p>
    <w:p w14:paraId="26BB78A6" w14:textId="77777777" w:rsidR="00C27F78" w:rsidRDefault="00C27F78" w:rsidP="006B5D30">
      <w:pPr>
        <w:jc w:val="center"/>
      </w:pPr>
      <w:r>
        <w:rPr>
          <w:noProof/>
          <w:lang w:val="en-US"/>
        </w:rPr>
        <w:drawing>
          <wp:inline distT="0" distB="0" distL="0" distR="0" wp14:anchorId="43EBFCD0" wp14:editId="4F4E9200">
            <wp:extent cx="4547616" cy="480060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ystemsPerformanceReport2015_FR_Fig1.ii.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47616" cy="4800600"/>
                    </a:xfrm>
                    <a:prstGeom prst="rect">
                      <a:avLst/>
                    </a:prstGeom>
                  </pic:spPr>
                </pic:pic>
              </a:graphicData>
            </a:graphic>
          </wp:inline>
        </w:drawing>
      </w:r>
    </w:p>
    <w:p w14:paraId="01104436" w14:textId="77777777" w:rsidR="00C27F78" w:rsidRDefault="00C27F78" w:rsidP="006B5D30">
      <w:pPr>
        <w:jc w:val="center"/>
      </w:pPr>
      <w:r>
        <w:br w:type="page"/>
      </w:r>
    </w:p>
    <w:p w14:paraId="68157F2A" w14:textId="77777777" w:rsidR="00943EB6" w:rsidRPr="00943EB6" w:rsidRDefault="00943EB6" w:rsidP="006B5D30">
      <w:pPr>
        <w:pStyle w:val="Heading1"/>
        <w:rPr>
          <w:rFonts w:eastAsia="Times New Roman"/>
          <w:lang w:val="fr-CA" w:eastAsia="en-CA"/>
        </w:rPr>
      </w:pPr>
      <w:bookmarkStart w:id="7" w:name="_Toc437589646"/>
      <w:r w:rsidRPr="00943EB6">
        <w:rPr>
          <w:lang w:val="fr-CA"/>
        </w:rPr>
        <w:lastRenderedPageBreak/>
        <w:t xml:space="preserve">Figure 2.1 </w:t>
      </w:r>
      <w:r w:rsidRPr="00943EB6">
        <w:rPr>
          <w:rFonts w:eastAsia="Times New Roman"/>
          <w:lang w:val="fr-CA" w:eastAsia="en-CA"/>
        </w:rPr>
        <w:t>Pourcentage† des femmes (de 18 à 69 ans) déclarant avoir subi au moins un test Pap au cours des trois dernières années</w:t>
      </w:r>
      <w:r w:rsidR="004E2109">
        <w:rPr>
          <w:rFonts w:eastAsia="Times New Roman"/>
          <w:lang w:val="fr-CA" w:eastAsia="en-CA"/>
        </w:rPr>
        <w:t>,</w:t>
      </w:r>
      <w:r w:rsidRPr="00943EB6">
        <w:rPr>
          <w:rFonts w:eastAsia="Times New Roman"/>
          <w:lang w:val="fr-CA" w:eastAsia="en-CA"/>
        </w:rPr>
        <w:t xml:space="preserve"> selon la province ou le territoire - déclaration faite en 2012 et 2013</w:t>
      </w:r>
      <w:bookmarkEnd w:id="7"/>
      <w:r w:rsidRPr="00943EB6">
        <w:rPr>
          <w:rFonts w:eastAsia="Times New Roman"/>
          <w:lang w:val="fr-CA" w:eastAsia="en-CA"/>
        </w:rPr>
        <w:t xml:space="preserve"> </w:t>
      </w:r>
    </w:p>
    <w:p w14:paraId="1BBC6D44" w14:textId="77777777" w:rsidR="00C27F78" w:rsidRDefault="00C27F78" w:rsidP="006B5D30">
      <w:pPr>
        <w:jc w:val="center"/>
      </w:pPr>
      <w:r>
        <w:rPr>
          <w:noProof/>
          <w:lang w:val="en-US"/>
        </w:rPr>
        <w:drawing>
          <wp:inline distT="0" distB="0" distL="0" distR="0" wp14:anchorId="1443ED0F" wp14:editId="0CEA10E0">
            <wp:extent cx="6644640" cy="4206240"/>
            <wp:effectExtent l="0" t="0" r="381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ystemsPerformanceReport2015_FR_Fig2.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44640" cy="4206240"/>
                    </a:xfrm>
                    <a:prstGeom prst="rect">
                      <a:avLst/>
                    </a:prstGeom>
                  </pic:spPr>
                </pic:pic>
              </a:graphicData>
            </a:graphic>
          </wp:inline>
        </w:drawing>
      </w:r>
    </w:p>
    <w:p w14:paraId="26B88413" w14:textId="77777777" w:rsidR="00C27F78" w:rsidRDefault="00C27F78" w:rsidP="006B5D30">
      <w:pPr>
        <w:jc w:val="center"/>
      </w:pPr>
      <w:r>
        <w:br w:type="page"/>
      </w:r>
    </w:p>
    <w:p w14:paraId="0FAF937D" w14:textId="77777777" w:rsidR="00943EB6" w:rsidRPr="00943EB6" w:rsidRDefault="00943EB6" w:rsidP="006B5D30">
      <w:pPr>
        <w:pStyle w:val="Heading1"/>
        <w:rPr>
          <w:rFonts w:eastAsia="Times New Roman"/>
          <w:lang w:val="fr-CA" w:eastAsia="en-CA"/>
        </w:rPr>
      </w:pPr>
      <w:bookmarkStart w:id="8" w:name="_Toc437589647"/>
      <w:r w:rsidRPr="00943EB6">
        <w:rPr>
          <w:lang w:val="fr-CA"/>
        </w:rPr>
        <w:lastRenderedPageBreak/>
        <w:t xml:space="preserve">Figure 2.2 </w:t>
      </w:r>
      <w:r w:rsidRPr="00943EB6">
        <w:rPr>
          <w:rFonts w:eastAsia="Times New Roman"/>
          <w:lang w:val="fr-CA" w:eastAsia="en-CA"/>
        </w:rPr>
        <w:t>Pourcentage des femmes admissibles† (de 50 à 69 ans) déclarant avoir subi u</w:t>
      </w:r>
      <w:r>
        <w:rPr>
          <w:rFonts w:eastAsia="Times New Roman"/>
          <w:lang w:val="fr-CA" w:eastAsia="en-CA"/>
        </w:rPr>
        <w:t xml:space="preserve">ne mammographie de dépistage†† </w:t>
      </w:r>
      <w:r w:rsidRPr="00943EB6">
        <w:rPr>
          <w:rFonts w:eastAsia="Times New Roman"/>
          <w:lang w:val="fr-CA" w:eastAsia="en-CA"/>
        </w:rPr>
        <w:t>au cours des deux dernières années, selon la province ou le territoire – déclaration faite en 2012 et 2013</w:t>
      </w:r>
      <w:bookmarkEnd w:id="8"/>
    </w:p>
    <w:p w14:paraId="5DB9D9EE" w14:textId="77777777" w:rsidR="00C27F78" w:rsidRDefault="00C27F78" w:rsidP="006B5D30">
      <w:pPr>
        <w:jc w:val="center"/>
      </w:pPr>
      <w:r>
        <w:rPr>
          <w:noProof/>
          <w:lang w:val="en-US"/>
        </w:rPr>
        <w:drawing>
          <wp:inline distT="0" distB="0" distL="0" distR="0" wp14:anchorId="0A960C3D" wp14:editId="39602FBE">
            <wp:extent cx="6644640" cy="4206240"/>
            <wp:effectExtent l="0" t="0" r="381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ystemsPerformanceReport2015_FR_Fig2.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44640" cy="4206240"/>
                    </a:xfrm>
                    <a:prstGeom prst="rect">
                      <a:avLst/>
                    </a:prstGeom>
                  </pic:spPr>
                </pic:pic>
              </a:graphicData>
            </a:graphic>
          </wp:inline>
        </w:drawing>
      </w:r>
    </w:p>
    <w:p w14:paraId="3DEA7027" w14:textId="77777777" w:rsidR="00C27F78" w:rsidRDefault="00C27F78" w:rsidP="006B5D30">
      <w:pPr>
        <w:jc w:val="center"/>
      </w:pPr>
      <w:r>
        <w:br w:type="page"/>
      </w:r>
    </w:p>
    <w:p w14:paraId="65DD6933" w14:textId="77777777" w:rsidR="00943EB6" w:rsidRPr="00943EB6" w:rsidRDefault="00943EB6" w:rsidP="006B5D30">
      <w:pPr>
        <w:pStyle w:val="Heading1"/>
        <w:rPr>
          <w:rFonts w:eastAsia="Times New Roman"/>
          <w:lang w:val="fr-CA" w:eastAsia="en-CA"/>
        </w:rPr>
      </w:pPr>
      <w:bookmarkStart w:id="9" w:name="_Toc437589648"/>
      <w:r w:rsidRPr="00943EB6">
        <w:rPr>
          <w:lang w:val="fr-CA"/>
        </w:rPr>
        <w:lastRenderedPageBreak/>
        <w:t xml:space="preserve">Figure 2.3 </w:t>
      </w:r>
      <w:r w:rsidRPr="00943EB6">
        <w:rPr>
          <w:rFonts w:eastAsia="Times New Roman"/>
          <w:lang w:val="fr-CA" w:eastAsia="en-CA"/>
        </w:rPr>
        <w:t>Pourcentage de la population (de 50 à 74 ans) déclarant avoir subi un test de dépistage</w:t>
      </w:r>
      <w:r w:rsidRPr="00943EB6">
        <w:rPr>
          <w:rFonts w:eastAsia="Times New Roman"/>
          <w:lang w:eastAsia="en-CA"/>
        </w:rPr>
        <w:t>ᶧ</w:t>
      </w:r>
      <w:r w:rsidRPr="00943EB6">
        <w:rPr>
          <w:rFonts w:eastAsia="Times New Roman"/>
          <w:lang w:val="fr-CA" w:eastAsia="en-CA"/>
        </w:rPr>
        <w:t xml:space="preserve"> de sang dans les selles au cours </w:t>
      </w:r>
      <w:r>
        <w:rPr>
          <w:rFonts w:eastAsia="Times New Roman"/>
          <w:lang w:val="fr-CA" w:eastAsia="en-CA"/>
        </w:rPr>
        <w:t>des deux dernières année ou une</w:t>
      </w:r>
      <w:r w:rsidRPr="00943EB6">
        <w:rPr>
          <w:rFonts w:eastAsia="Times New Roman"/>
          <w:lang w:val="fr-CA" w:eastAsia="en-CA"/>
        </w:rPr>
        <w:t xml:space="preserve"> sigmoïdoscopie/coloscopie de dépistage</w:t>
      </w:r>
      <w:r w:rsidRPr="00943EB6">
        <w:rPr>
          <w:rFonts w:eastAsia="Times New Roman"/>
          <w:lang w:eastAsia="en-CA"/>
        </w:rPr>
        <w:t>ᶧ</w:t>
      </w:r>
      <w:r w:rsidRPr="00943EB6">
        <w:rPr>
          <w:rFonts w:eastAsia="Times New Roman"/>
          <w:lang w:val="fr-CA" w:eastAsia="en-CA"/>
        </w:rPr>
        <w:t xml:space="preserve"> au cours des cinq dernières années, selon la</w:t>
      </w:r>
      <w:r>
        <w:rPr>
          <w:rFonts w:eastAsia="Times New Roman"/>
          <w:lang w:val="fr-CA" w:eastAsia="en-CA"/>
        </w:rPr>
        <w:t xml:space="preserve"> </w:t>
      </w:r>
      <w:r w:rsidRPr="00943EB6">
        <w:rPr>
          <w:rFonts w:eastAsia="Times New Roman"/>
          <w:lang w:val="fr-CA" w:eastAsia="en-CA"/>
        </w:rPr>
        <w:t>province ou le territoire - déclaration faite en 2012 et 2013</w:t>
      </w:r>
      <w:bookmarkEnd w:id="9"/>
      <w:r w:rsidRPr="00943EB6">
        <w:rPr>
          <w:rFonts w:eastAsia="Times New Roman"/>
          <w:lang w:val="fr-CA" w:eastAsia="en-CA"/>
        </w:rPr>
        <w:t xml:space="preserve">  </w:t>
      </w:r>
    </w:p>
    <w:p w14:paraId="7A19ABFB" w14:textId="77777777" w:rsidR="00C27F78" w:rsidRDefault="00C27F78" w:rsidP="006B5D30">
      <w:pPr>
        <w:jc w:val="center"/>
      </w:pPr>
      <w:r>
        <w:rPr>
          <w:noProof/>
          <w:lang w:val="en-US"/>
        </w:rPr>
        <w:drawing>
          <wp:inline distT="0" distB="0" distL="0" distR="0" wp14:anchorId="3A144C9D" wp14:editId="37CBEC8A">
            <wp:extent cx="6644640" cy="4498848"/>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ystemsPerformanceReport2015_FR_Fig2.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44640" cy="4498848"/>
                    </a:xfrm>
                    <a:prstGeom prst="rect">
                      <a:avLst/>
                    </a:prstGeom>
                  </pic:spPr>
                </pic:pic>
              </a:graphicData>
            </a:graphic>
          </wp:inline>
        </w:drawing>
      </w:r>
    </w:p>
    <w:p w14:paraId="45E7AFF3" w14:textId="77777777" w:rsidR="00C27F78" w:rsidRDefault="00C27F78" w:rsidP="006B5D30">
      <w:pPr>
        <w:jc w:val="center"/>
      </w:pPr>
      <w:r>
        <w:br w:type="page"/>
      </w:r>
    </w:p>
    <w:p w14:paraId="6455C92E" w14:textId="77777777" w:rsidR="00943EB6" w:rsidRPr="00943EB6" w:rsidRDefault="00943EB6" w:rsidP="006B5D30">
      <w:pPr>
        <w:pStyle w:val="Heading1"/>
        <w:rPr>
          <w:rFonts w:eastAsia="Times New Roman"/>
          <w:lang w:val="fr-CA" w:eastAsia="en-CA"/>
        </w:rPr>
      </w:pPr>
      <w:bookmarkStart w:id="10" w:name="_Toc437589649"/>
      <w:r w:rsidRPr="00943EB6">
        <w:rPr>
          <w:lang w:val="fr-CA"/>
        </w:rPr>
        <w:lastRenderedPageBreak/>
        <w:t xml:space="preserve">Figure 2.4 </w:t>
      </w:r>
      <w:r w:rsidRPr="00943EB6">
        <w:rPr>
          <w:rFonts w:eastAsia="Times New Roman"/>
          <w:lang w:val="fr-CA" w:eastAsia="en-CA"/>
        </w:rPr>
        <w:t>Pourcentage de la population (de 50 à 74 ans) déclarant avoir subi un test de dépistage</w:t>
      </w:r>
      <w:r w:rsidRPr="00943EB6">
        <w:rPr>
          <w:rFonts w:eastAsia="Times New Roman"/>
          <w:lang w:eastAsia="en-CA"/>
        </w:rPr>
        <w:t>ᶧ</w:t>
      </w:r>
      <w:r w:rsidRPr="00943EB6">
        <w:rPr>
          <w:rFonts w:eastAsia="Times New Roman"/>
          <w:lang w:val="fr-CA" w:eastAsia="en-CA"/>
        </w:rPr>
        <w:t xml:space="preserve"> de sang dans les selles au cours des deux dernières années, selon la province ou le territoire - déclaration faite en 2012 et 2013</w:t>
      </w:r>
      <w:bookmarkEnd w:id="10"/>
      <w:r w:rsidRPr="00943EB6">
        <w:rPr>
          <w:rFonts w:eastAsia="Times New Roman"/>
          <w:lang w:val="fr-CA" w:eastAsia="en-CA"/>
        </w:rPr>
        <w:t xml:space="preserve"> </w:t>
      </w:r>
    </w:p>
    <w:p w14:paraId="4A13C3A0" w14:textId="77777777" w:rsidR="00C27F78" w:rsidRDefault="00C27F78" w:rsidP="006B5D30">
      <w:pPr>
        <w:jc w:val="center"/>
      </w:pPr>
      <w:r>
        <w:rPr>
          <w:noProof/>
          <w:lang w:val="en-US"/>
        </w:rPr>
        <w:drawing>
          <wp:inline distT="0" distB="0" distL="0" distR="0" wp14:anchorId="253E4B3E" wp14:editId="61D94C95">
            <wp:extent cx="6644640" cy="4255008"/>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ystemsPerformanceReport2015_FR_Fig2.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644640" cy="4255008"/>
                    </a:xfrm>
                    <a:prstGeom prst="rect">
                      <a:avLst/>
                    </a:prstGeom>
                  </pic:spPr>
                </pic:pic>
              </a:graphicData>
            </a:graphic>
          </wp:inline>
        </w:drawing>
      </w:r>
    </w:p>
    <w:p w14:paraId="7344A9C3" w14:textId="77777777" w:rsidR="00C27F78" w:rsidRDefault="00C27F78" w:rsidP="006B5D30">
      <w:pPr>
        <w:jc w:val="center"/>
      </w:pPr>
      <w:r>
        <w:br w:type="page"/>
      </w:r>
    </w:p>
    <w:p w14:paraId="2C319979" w14:textId="77777777" w:rsidR="00943EB6" w:rsidRPr="00943EB6" w:rsidRDefault="00943EB6" w:rsidP="006B5D30">
      <w:pPr>
        <w:pStyle w:val="Heading1"/>
        <w:rPr>
          <w:rFonts w:eastAsia="Times New Roman"/>
          <w:lang w:val="fr-CA" w:eastAsia="en-CA"/>
        </w:rPr>
      </w:pPr>
      <w:bookmarkStart w:id="11" w:name="_Toc437589650"/>
      <w:r w:rsidRPr="00943EB6">
        <w:rPr>
          <w:lang w:val="fr-CA"/>
        </w:rPr>
        <w:lastRenderedPageBreak/>
        <w:t xml:space="preserve">Figure 2.5 </w:t>
      </w:r>
      <w:r w:rsidRPr="00943EB6">
        <w:rPr>
          <w:rFonts w:eastAsia="Times New Roman"/>
          <w:lang w:val="fr-CA" w:eastAsia="en-CA"/>
        </w:rPr>
        <w:t>Pourcentage de la population (de 50 à 74 ans) déclarant avoir subi une sigmoïdoscopie/coloscopie de dépistage</w:t>
      </w:r>
      <w:r w:rsidRPr="00943EB6">
        <w:rPr>
          <w:rFonts w:eastAsia="Times New Roman"/>
          <w:lang w:eastAsia="en-CA"/>
        </w:rPr>
        <w:t>ᶧ</w:t>
      </w:r>
      <w:r>
        <w:rPr>
          <w:rFonts w:eastAsia="Times New Roman"/>
          <w:lang w:val="fr-CA" w:eastAsia="en-CA"/>
        </w:rPr>
        <w:t xml:space="preserve"> </w:t>
      </w:r>
      <w:r w:rsidRPr="00943EB6">
        <w:rPr>
          <w:rFonts w:eastAsia="Times New Roman"/>
          <w:lang w:val="fr-CA" w:eastAsia="en-CA"/>
        </w:rPr>
        <w:t>au cours des cinq dernières années, selon la province ou le territoire - déclaration faite en 2012 et 2013</w:t>
      </w:r>
      <w:bookmarkEnd w:id="11"/>
      <w:r w:rsidRPr="00943EB6">
        <w:rPr>
          <w:rFonts w:eastAsia="Times New Roman"/>
          <w:lang w:val="fr-CA" w:eastAsia="en-CA"/>
        </w:rPr>
        <w:t xml:space="preserve"> </w:t>
      </w:r>
    </w:p>
    <w:p w14:paraId="05D985B6" w14:textId="77777777" w:rsidR="00C27F78" w:rsidRDefault="00C27F78" w:rsidP="006B5D30">
      <w:pPr>
        <w:jc w:val="center"/>
      </w:pPr>
      <w:r>
        <w:rPr>
          <w:noProof/>
          <w:lang w:val="en-US"/>
        </w:rPr>
        <w:drawing>
          <wp:inline distT="0" distB="0" distL="0" distR="0" wp14:anchorId="685BDFC5" wp14:editId="27A47B22">
            <wp:extent cx="6644640" cy="4255008"/>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ystemsPerformanceReport2015_FR_Fig2.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44640" cy="4255008"/>
                    </a:xfrm>
                    <a:prstGeom prst="rect">
                      <a:avLst/>
                    </a:prstGeom>
                  </pic:spPr>
                </pic:pic>
              </a:graphicData>
            </a:graphic>
          </wp:inline>
        </w:drawing>
      </w:r>
    </w:p>
    <w:p w14:paraId="04EB46ED" w14:textId="77777777" w:rsidR="00C27F78" w:rsidRDefault="00C27F78" w:rsidP="006B5D30">
      <w:pPr>
        <w:jc w:val="center"/>
      </w:pPr>
      <w:r>
        <w:br w:type="page"/>
      </w:r>
    </w:p>
    <w:p w14:paraId="510CA13A" w14:textId="77777777" w:rsidR="00943EB6" w:rsidRPr="00943EB6" w:rsidRDefault="00943EB6" w:rsidP="006B5D30">
      <w:pPr>
        <w:pStyle w:val="Heading1"/>
        <w:rPr>
          <w:rFonts w:eastAsia="Times New Roman"/>
          <w:lang w:val="fr-CA" w:eastAsia="en-CA"/>
        </w:rPr>
      </w:pPr>
      <w:bookmarkStart w:id="12" w:name="_Toc437589651"/>
      <w:r w:rsidRPr="00943EB6">
        <w:rPr>
          <w:lang w:val="fr-CA"/>
        </w:rPr>
        <w:lastRenderedPageBreak/>
        <w:t xml:space="preserve">Figure 2.6 </w:t>
      </w:r>
      <w:r w:rsidRPr="00943EB6">
        <w:rPr>
          <w:rFonts w:eastAsia="Times New Roman"/>
          <w:lang w:val="fr-CA" w:eastAsia="en-CA"/>
        </w:rPr>
        <w:t>Pourcentage de la population (de 50 à 74 ans) déclarant avoir subi un test de dépistage de sang dans les selles</w:t>
      </w:r>
      <w:r w:rsidR="00335137" w:rsidRPr="00943EB6">
        <w:rPr>
          <w:rFonts w:eastAsia="Times New Roman"/>
          <w:lang w:eastAsia="en-CA"/>
        </w:rPr>
        <w:t>ᶧ</w:t>
      </w:r>
      <w:r w:rsidRPr="00943EB6">
        <w:rPr>
          <w:rFonts w:eastAsia="Times New Roman"/>
          <w:lang w:val="fr-CA" w:eastAsia="en-CA"/>
        </w:rPr>
        <w:t xml:space="preserve"> au cou</w:t>
      </w:r>
      <w:r w:rsidR="00335137">
        <w:rPr>
          <w:rFonts w:eastAsia="Times New Roman"/>
          <w:lang w:val="fr-CA" w:eastAsia="en-CA"/>
        </w:rPr>
        <w:t>rs des deux dernières années ou</w:t>
      </w:r>
      <w:r w:rsidRPr="00943EB6">
        <w:rPr>
          <w:rFonts w:eastAsia="Times New Roman"/>
          <w:lang w:val="fr-CA" w:eastAsia="en-CA"/>
        </w:rPr>
        <w:t xml:space="preserve"> une sigmoïdoscopie/coloscopie de dépistage</w:t>
      </w:r>
      <w:r w:rsidRPr="00943EB6">
        <w:rPr>
          <w:rFonts w:eastAsia="Times New Roman"/>
          <w:lang w:eastAsia="en-CA"/>
        </w:rPr>
        <w:t>ᶧ</w:t>
      </w:r>
      <w:r w:rsidRPr="00943EB6">
        <w:rPr>
          <w:rFonts w:eastAsia="Times New Roman"/>
          <w:lang w:val="fr-CA" w:eastAsia="en-CA"/>
        </w:rPr>
        <w:t xml:space="preserve"> au cours des cinq dernières années, selon le groupe d'âge et le sexe - déclaration faite en 2013</w:t>
      </w:r>
      <w:bookmarkEnd w:id="12"/>
      <w:r w:rsidRPr="00943EB6">
        <w:rPr>
          <w:rFonts w:eastAsia="Times New Roman"/>
          <w:lang w:val="fr-CA" w:eastAsia="en-CA"/>
        </w:rPr>
        <w:t xml:space="preserve"> </w:t>
      </w:r>
    </w:p>
    <w:p w14:paraId="6C921193" w14:textId="77777777" w:rsidR="00335137" w:rsidRDefault="00C27F78" w:rsidP="006B5D30">
      <w:pPr>
        <w:jc w:val="center"/>
        <w:sectPr w:rsidR="00335137" w:rsidSect="00C27F78">
          <w:pgSz w:w="15840" w:h="12240" w:orient="landscape"/>
          <w:pgMar w:top="1440" w:right="1440" w:bottom="1440" w:left="1440" w:header="708" w:footer="708" w:gutter="0"/>
          <w:cols w:space="708"/>
          <w:docGrid w:linePitch="360"/>
        </w:sectPr>
      </w:pPr>
      <w:r>
        <w:rPr>
          <w:noProof/>
          <w:lang w:val="en-US"/>
        </w:rPr>
        <w:drawing>
          <wp:inline distT="0" distB="0" distL="0" distR="0" wp14:anchorId="6C1496C6" wp14:editId="6CE91872">
            <wp:extent cx="6644640" cy="472440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ystemsPerformanceReport2015_FR_Fig2.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44640" cy="4724400"/>
                    </a:xfrm>
                    <a:prstGeom prst="rect">
                      <a:avLst/>
                    </a:prstGeom>
                  </pic:spPr>
                </pic:pic>
              </a:graphicData>
            </a:graphic>
          </wp:inline>
        </w:drawing>
      </w:r>
      <w:r>
        <w:br w:type="page"/>
      </w:r>
    </w:p>
    <w:p w14:paraId="3AB916A2" w14:textId="77777777" w:rsidR="00943EB6" w:rsidRPr="00943EB6" w:rsidRDefault="00943EB6" w:rsidP="006B5D30">
      <w:pPr>
        <w:pStyle w:val="Heading1"/>
        <w:rPr>
          <w:rFonts w:eastAsia="Times New Roman"/>
          <w:lang w:val="fr-CA" w:eastAsia="en-CA"/>
        </w:rPr>
      </w:pPr>
      <w:bookmarkStart w:id="13" w:name="_Toc437589652"/>
      <w:r w:rsidRPr="00943EB6">
        <w:rPr>
          <w:lang w:val="fr-CA"/>
        </w:rPr>
        <w:lastRenderedPageBreak/>
        <w:t xml:space="preserve">Figure 2.i </w:t>
      </w:r>
      <w:r w:rsidRPr="00943EB6">
        <w:rPr>
          <w:rFonts w:eastAsia="Times New Roman"/>
          <w:lang w:val="fr-CA" w:eastAsia="en-CA"/>
        </w:rPr>
        <w:t>Pourcentage des femmes</w:t>
      </w:r>
      <w:r w:rsidRPr="00E6422E">
        <w:rPr>
          <w:rFonts w:eastAsia="Times New Roman"/>
          <w:vertAlign w:val="superscript"/>
          <w:lang w:val="fr-CA" w:eastAsia="en-CA"/>
        </w:rPr>
        <w:t>†</w:t>
      </w:r>
      <w:r w:rsidRPr="00943EB6">
        <w:rPr>
          <w:rFonts w:eastAsia="Times New Roman"/>
          <w:lang w:val="fr-CA" w:eastAsia="en-CA"/>
        </w:rPr>
        <w:t xml:space="preserve"> (de 21 à 69 ans) déclarant avoir subi au moins un test Pap</w:t>
      </w:r>
      <w:r w:rsidR="00E6422E" w:rsidRPr="00E6422E">
        <w:rPr>
          <w:rFonts w:eastAsia="Times New Roman"/>
          <w:vertAlign w:val="superscript"/>
          <w:lang w:val="fr-CA" w:eastAsia="en-CA"/>
        </w:rPr>
        <w:t>††</w:t>
      </w:r>
      <w:r w:rsidRPr="00943EB6">
        <w:rPr>
          <w:rFonts w:eastAsia="Times New Roman"/>
          <w:lang w:val="fr-CA" w:eastAsia="en-CA"/>
        </w:rPr>
        <w:t xml:space="preserve"> au cours des trois dernières années,</w:t>
      </w:r>
      <w:r w:rsidR="00E6422E">
        <w:rPr>
          <w:rFonts w:eastAsia="Times New Roman"/>
          <w:lang w:val="fr-CA" w:eastAsia="en-CA"/>
        </w:rPr>
        <w:t xml:space="preserve"> </w:t>
      </w:r>
      <w:r w:rsidRPr="00943EB6">
        <w:rPr>
          <w:rFonts w:eastAsia="Times New Roman"/>
          <w:lang w:val="fr-CA" w:eastAsia="en-CA"/>
        </w:rPr>
        <w:t>selon le quintile de revenu du ménage et le statut d'immigrante, Canada - déclaration faite en 2012</w:t>
      </w:r>
      <w:bookmarkEnd w:id="13"/>
    </w:p>
    <w:p w14:paraId="69A623C9" w14:textId="77777777" w:rsidR="00943EB6" w:rsidRDefault="00C27F78" w:rsidP="006B5D30">
      <w:pPr>
        <w:jc w:val="center"/>
        <w:sectPr w:rsidR="00943EB6" w:rsidSect="00335137">
          <w:pgSz w:w="12240" w:h="15840"/>
          <w:pgMar w:top="1440" w:right="1440" w:bottom="1440" w:left="1440" w:header="708" w:footer="708" w:gutter="0"/>
          <w:cols w:space="708"/>
          <w:docGrid w:linePitch="360"/>
        </w:sectPr>
      </w:pPr>
      <w:r>
        <w:rPr>
          <w:noProof/>
          <w:lang w:val="en-US"/>
        </w:rPr>
        <w:drawing>
          <wp:inline distT="0" distB="0" distL="0" distR="0" wp14:anchorId="455BCA9F" wp14:editId="6D78FD51">
            <wp:extent cx="5958840" cy="5577840"/>
            <wp:effectExtent l="0" t="0" r="381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ystemsPerformanceReport2015_FR_Fig2.i.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58840" cy="5577840"/>
                    </a:xfrm>
                    <a:prstGeom prst="rect">
                      <a:avLst/>
                    </a:prstGeom>
                  </pic:spPr>
                </pic:pic>
              </a:graphicData>
            </a:graphic>
          </wp:inline>
        </w:drawing>
      </w:r>
      <w:r>
        <w:br w:type="page"/>
      </w:r>
    </w:p>
    <w:p w14:paraId="25B7B52E" w14:textId="77777777" w:rsidR="00943EB6" w:rsidRPr="00943EB6" w:rsidRDefault="00943EB6" w:rsidP="006B5D30">
      <w:pPr>
        <w:pStyle w:val="Heading1"/>
        <w:rPr>
          <w:rFonts w:eastAsia="Times New Roman"/>
          <w:lang w:val="fr-CA" w:eastAsia="en-CA"/>
        </w:rPr>
      </w:pPr>
      <w:bookmarkStart w:id="14" w:name="_Toc437589653"/>
      <w:r w:rsidRPr="00943EB6">
        <w:rPr>
          <w:lang w:val="fr-CA"/>
        </w:rPr>
        <w:lastRenderedPageBreak/>
        <w:t xml:space="preserve">Figure 2.ii </w:t>
      </w:r>
      <w:r w:rsidRPr="00943EB6">
        <w:rPr>
          <w:rFonts w:eastAsia="Times New Roman"/>
          <w:lang w:val="fr-CA" w:eastAsia="en-CA"/>
        </w:rPr>
        <w:t>Pourcentage des femmes admissibles</w:t>
      </w:r>
      <w:r w:rsidRPr="00943EB6">
        <w:rPr>
          <w:rFonts w:eastAsia="Times New Roman"/>
          <w:vertAlign w:val="superscript"/>
          <w:lang w:val="fr-CA" w:eastAsia="en-CA"/>
        </w:rPr>
        <w:t>†</w:t>
      </w:r>
      <w:r w:rsidRPr="00943EB6">
        <w:rPr>
          <w:rFonts w:eastAsia="Times New Roman"/>
          <w:lang w:val="fr-CA" w:eastAsia="en-CA"/>
        </w:rPr>
        <w:t xml:space="preserve"> (de 50 à 69 ans) déclarant avoir subi une mammographie de dépistage</w:t>
      </w:r>
      <w:r w:rsidRPr="00E6422E">
        <w:rPr>
          <w:rFonts w:eastAsia="Times New Roman"/>
          <w:vertAlign w:val="superscript"/>
          <w:lang w:val="fr-CA" w:eastAsia="en-CA"/>
        </w:rPr>
        <w:t>††</w:t>
      </w:r>
      <w:r w:rsidRPr="00943EB6">
        <w:rPr>
          <w:rFonts w:eastAsia="Times New Roman"/>
          <w:lang w:val="fr-CA" w:eastAsia="en-CA"/>
        </w:rPr>
        <w:t xml:space="preserve"> au cours des deux dernières années, selon le quintile de revenu du ménage et le statut d'immigrante, Canada - déclaration faite en 2012</w:t>
      </w:r>
      <w:bookmarkEnd w:id="14"/>
    </w:p>
    <w:p w14:paraId="13AE736A" w14:textId="77777777" w:rsidR="000016D2" w:rsidRDefault="00C27F78" w:rsidP="006B5D30">
      <w:pPr>
        <w:jc w:val="center"/>
        <w:sectPr w:rsidR="000016D2" w:rsidSect="00943EB6">
          <w:pgSz w:w="12240" w:h="15840"/>
          <w:pgMar w:top="1440" w:right="1440" w:bottom="1440" w:left="1440" w:header="708" w:footer="708" w:gutter="0"/>
          <w:cols w:space="708"/>
          <w:docGrid w:linePitch="360"/>
        </w:sectPr>
      </w:pPr>
      <w:r>
        <w:rPr>
          <w:noProof/>
          <w:lang w:val="en-US"/>
        </w:rPr>
        <w:drawing>
          <wp:inline distT="0" distB="0" distL="0" distR="0" wp14:anchorId="559AF82C" wp14:editId="352F919E">
            <wp:extent cx="5958840" cy="5754624"/>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ystemsPerformanceReport2015_FR_Fig2.ii.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58840" cy="5754624"/>
                    </a:xfrm>
                    <a:prstGeom prst="rect">
                      <a:avLst/>
                    </a:prstGeom>
                  </pic:spPr>
                </pic:pic>
              </a:graphicData>
            </a:graphic>
          </wp:inline>
        </w:drawing>
      </w:r>
      <w:r>
        <w:br w:type="page"/>
      </w:r>
    </w:p>
    <w:p w14:paraId="268E6AD9" w14:textId="77777777" w:rsidR="00943EB6" w:rsidRPr="00943EB6" w:rsidRDefault="00943EB6" w:rsidP="006B5D30">
      <w:pPr>
        <w:pStyle w:val="Heading1"/>
        <w:rPr>
          <w:rFonts w:eastAsia="Times New Roman"/>
          <w:lang w:val="fr-CA" w:eastAsia="en-CA"/>
        </w:rPr>
      </w:pPr>
      <w:bookmarkStart w:id="15" w:name="_Toc437589654"/>
      <w:r w:rsidRPr="00943EB6">
        <w:rPr>
          <w:lang w:val="fr-CA"/>
        </w:rPr>
        <w:lastRenderedPageBreak/>
        <w:t xml:space="preserve">Figure 2.iii </w:t>
      </w:r>
      <w:r w:rsidRPr="00943EB6">
        <w:rPr>
          <w:rFonts w:eastAsia="Times New Roman"/>
          <w:lang w:val="fr-CA" w:eastAsia="en-CA"/>
        </w:rPr>
        <w:t>Pourcentage de la population (de 50 à 74 ans) à jour</w:t>
      </w:r>
      <w:r w:rsidRPr="00E6422E">
        <w:rPr>
          <w:rFonts w:eastAsia="Times New Roman"/>
          <w:vertAlign w:val="superscript"/>
          <w:lang w:val="fr-CA" w:eastAsia="en-CA"/>
        </w:rPr>
        <w:t>†</w:t>
      </w:r>
      <w:r w:rsidRPr="00943EB6">
        <w:rPr>
          <w:rFonts w:eastAsia="Times New Roman"/>
          <w:lang w:val="fr-CA" w:eastAsia="en-CA"/>
        </w:rPr>
        <w:t xml:space="preserve"> dans ses tests de dépistage du cancer colorectal effectués en l'absence de symptômes</w:t>
      </w:r>
      <w:r w:rsidRPr="00E6422E">
        <w:rPr>
          <w:rFonts w:eastAsia="Times New Roman"/>
          <w:vertAlign w:val="superscript"/>
          <w:lang w:val="fr-CA" w:eastAsia="en-CA"/>
        </w:rPr>
        <w:t>††</w:t>
      </w:r>
      <w:r w:rsidRPr="00943EB6">
        <w:rPr>
          <w:rFonts w:eastAsia="Times New Roman"/>
          <w:lang w:val="fr-CA" w:eastAsia="en-CA"/>
        </w:rPr>
        <w:t>, selon le quintile de revenu du ménage et le statut d'immigrant, Canada - déclaration faite en 2012</w:t>
      </w:r>
      <w:bookmarkEnd w:id="15"/>
    </w:p>
    <w:p w14:paraId="40A5C94B" w14:textId="77777777" w:rsidR="000016D2" w:rsidRDefault="00C27F78" w:rsidP="006B5D30">
      <w:pPr>
        <w:jc w:val="center"/>
        <w:sectPr w:rsidR="000016D2" w:rsidSect="000016D2">
          <w:pgSz w:w="15840" w:h="12240" w:orient="landscape"/>
          <w:pgMar w:top="1440" w:right="1440" w:bottom="1440" w:left="1440" w:header="708" w:footer="708" w:gutter="0"/>
          <w:cols w:space="708"/>
          <w:docGrid w:linePitch="360"/>
        </w:sectPr>
      </w:pPr>
      <w:r>
        <w:rPr>
          <w:noProof/>
          <w:lang w:val="en-US"/>
        </w:rPr>
        <w:drawing>
          <wp:inline distT="0" distB="0" distL="0" distR="0" wp14:anchorId="7CF227DF" wp14:editId="70F08F2B">
            <wp:extent cx="6644640" cy="4916424"/>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ystemsPerformanceReport2015_FR_Fig2.iii.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644640" cy="4916424"/>
                    </a:xfrm>
                    <a:prstGeom prst="rect">
                      <a:avLst/>
                    </a:prstGeom>
                  </pic:spPr>
                </pic:pic>
              </a:graphicData>
            </a:graphic>
          </wp:inline>
        </w:drawing>
      </w:r>
      <w:r>
        <w:br w:type="page"/>
      </w:r>
    </w:p>
    <w:p w14:paraId="33282082" w14:textId="77777777" w:rsidR="000016D2" w:rsidRDefault="000016D2" w:rsidP="006B5D30">
      <w:pPr>
        <w:pStyle w:val="Heading1"/>
        <w:rPr>
          <w:rFonts w:eastAsia="Times New Roman"/>
          <w:lang w:val="fr-CA" w:eastAsia="en-CA"/>
        </w:rPr>
      </w:pPr>
      <w:bookmarkStart w:id="16" w:name="_Toc437589655"/>
      <w:r w:rsidRPr="000016D2">
        <w:rPr>
          <w:lang w:val="fr-CA"/>
        </w:rPr>
        <w:lastRenderedPageBreak/>
        <w:t xml:space="preserve">Figure 3.1 </w:t>
      </w:r>
      <w:r w:rsidRPr="000016D2">
        <w:rPr>
          <w:rFonts w:eastAsia="Times New Roman"/>
          <w:lang w:val="fr-CA" w:eastAsia="en-CA"/>
        </w:rPr>
        <w:t>Temps d'attente médian et du 90</w:t>
      </w:r>
      <w:r w:rsidRPr="00E6422E">
        <w:rPr>
          <w:rFonts w:eastAsia="Times New Roman"/>
          <w:vertAlign w:val="superscript"/>
          <w:lang w:val="fr-CA" w:eastAsia="en-CA"/>
        </w:rPr>
        <w:t>e</w:t>
      </w:r>
      <w:r w:rsidRPr="000016D2">
        <w:rPr>
          <w:rFonts w:eastAsia="Times New Roman"/>
          <w:lang w:val="fr-CA" w:eastAsia="en-CA"/>
        </w:rPr>
        <w:t xml:space="preserve"> percentile jusqu'à la résolution d'une anomalie au sein dépistée sans biopsie tissulaire chez les femmes (de 50 à 69 ans), selon la province ou le territoire </w:t>
      </w:r>
      <w:r>
        <w:rPr>
          <w:rFonts w:eastAsia="Times New Roman"/>
          <w:lang w:val="fr-CA" w:eastAsia="en-CA"/>
        </w:rPr>
        <w:t>–</w:t>
      </w:r>
      <w:r w:rsidRPr="000016D2">
        <w:rPr>
          <w:rFonts w:eastAsia="Times New Roman"/>
          <w:lang w:val="fr-CA" w:eastAsia="en-CA"/>
        </w:rPr>
        <w:t xml:space="preserve"> 2012</w:t>
      </w:r>
      <w:bookmarkEnd w:id="16"/>
    </w:p>
    <w:p w14:paraId="2573E209" w14:textId="77777777" w:rsidR="000016D2" w:rsidRPr="000016D2" w:rsidRDefault="000016D2" w:rsidP="006B5D30">
      <w:pPr>
        <w:rPr>
          <w:lang w:val="fr-CA" w:eastAsia="en-CA"/>
        </w:rPr>
      </w:pPr>
    </w:p>
    <w:p w14:paraId="69B33FB2" w14:textId="77777777" w:rsidR="00C27F78" w:rsidRDefault="000016D2" w:rsidP="006B5D30">
      <w:pPr>
        <w:jc w:val="center"/>
      </w:pPr>
      <w:r>
        <w:rPr>
          <w:noProof/>
          <w:lang w:val="en-US"/>
        </w:rPr>
        <w:drawing>
          <wp:inline distT="0" distB="0" distL="0" distR="0" wp14:anchorId="57B159E2" wp14:editId="49D21748">
            <wp:extent cx="5943600" cy="472757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ystemsPerformanceReport2015_FR_Fig3.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727575"/>
                    </a:xfrm>
                    <a:prstGeom prst="rect">
                      <a:avLst/>
                    </a:prstGeom>
                  </pic:spPr>
                </pic:pic>
              </a:graphicData>
            </a:graphic>
          </wp:inline>
        </w:drawing>
      </w:r>
      <w:r w:rsidR="00C27F78">
        <w:br w:type="page"/>
      </w:r>
    </w:p>
    <w:p w14:paraId="1C9F73FF" w14:textId="77777777" w:rsidR="000016D2" w:rsidRPr="000016D2" w:rsidRDefault="000016D2" w:rsidP="006B5D30">
      <w:pPr>
        <w:pStyle w:val="Heading1"/>
        <w:rPr>
          <w:rFonts w:eastAsia="Times New Roman"/>
          <w:lang w:val="fr-CA" w:eastAsia="en-CA"/>
        </w:rPr>
      </w:pPr>
      <w:bookmarkStart w:id="17" w:name="_Toc437589656"/>
      <w:r w:rsidRPr="000016D2">
        <w:rPr>
          <w:lang w:val="fr-CA"/>
        </w:rPr>
        <w:lastRenderedPageBreak/>
        <w:t xml:space="preserve">Figure 3.2 </w:t>
      </w:r>
      <w:r w:rsidRPr="000016D2">
        <w:rPr>
          <w:rFonts w:eastAsia="Times New Roman"/>
          <w:lang w:val="fr-CA" w:eastAsia="en-CA"/>
        </w:rPr>
        <w:t>Temps d'attente médian et du 90</w:t>
      </w:r>
      <w:r w:rsidRPr="000016D2">
        <w:rPr>
          <w:rFonts w:eastAsia="Times New Roman"/>
          <w:vertAlign w:val="superscript"/>
          <w:lang w:val="fr-CA" w:eastAsia="en-CA"/>
        </w:rPr>
        <w:t>e</w:t>
      </w:r>
      <w:r w:rsidRPr="000016D2">
        <w:rPr>
          <w:rFonts w:eastAsia="Times New Roman"/>
          <w:lang w:val="fr-CA" w:eastAsia="en-CA"/>
        </w:rPr>
        <w:t xml:space="preserve"> percentile jusqu'à la résolution d'une anomalie au sein dépistée par biopsie tissulaire chez les femmes (de 50 à 69 ans), selon la province ou le territoire - 2012</w:t>
      </w:r>
      <w:bookmarkEnd w:id="17"/>
    </w:p>
    <w:p w14:paraId="2C31B96E" w14:textId="77777777" w:rsidR="00C27F78" w:rsidRDefault="00C27F78" w:rsidP="006B5D30">
      <w:pPr>
        <w:jc w:val="center"/>
      </w:pPr>
      <w:r>
        <w:rPr>
          <w:noProof/>
          <w:lang w:val="en-US"/>
        </w:rPr>
        <w:drawing>
          <wp:inline distT="0" distB="0" distL="0" distR="0" wp14:anchorId="1BD3F961" wp14:editId="2E12B802">
            <wp:extent cx="5448300" cy="5943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ystemsPerformanceReport2015_FR_Fig3.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48300" cy="5943600"/>
                    </a:xfrm>
                    <a:prstGeom prst="rect">
                      <a:avLst/>
                    </a:prstGeom>
                  </pic:spPr>
                </pic:pic>
              </a:graphicData>
            </a:graphic>
          </wp:inline>
        </w:drawing>
      </w:r>
    </w:p>
    <w:p w14:paraId="0AA388DB" w14:textId="77777777" w:rsidR="00C27F78" w:rsidRDefault="00C27F78" w:rsidP="006B5D30">
      <w:pPr>
        <w:jc w:val="center"/>
      </w:pPr>
      <w:r>
        <w:br w:type="page"/>
      </w:r>
    </w:p>
    <w:p w14:paraId="3EC5EF82" w14:textId="77777777" w:rsidR="000016D2" w:rsidRPr="000016D2" w:rsidRDefault="000016D2" w:rsidP="006B5D30">
      <w:pPr>
        <w:pStyle w:val="Heading1"/>
        <w:rPr>
          <w:rFonts w:eastAsia="Times New Roman"/>
          <w:lang w:val="fr-CA" w:eastAsia="en-CA"/>
        </w:rPr>
      </w:pPr>
      <w:bookmarkStart w:id="18" w:name="_Toc437589657"/>
      <w:r w:rsidRPr="000016D2">
        <w:rPr>
          <w:lang w:val="fr-CA"/>
        </w:rPr>
        <w:lastRenderedPageBreak/>
        <w:t xml:space="preserve">Figure 3.3 </w:t>
      </w:r>
      <w:r w:rsidRPr="000016D2">
        <w:rPr>
          <w:rFonts w:eastAsia="Times New Roman"/>
          <w:lang w:val="fr-CA" w:eastAsia="en-CA"/>
        </w:rPr>
        <w:t>Temps d'attente médian jusqu'à la résolution d'une anomalie au sein dépistée sans biopsie tissulaire chez les femmes (de 50 à 69 ans), selon la province ou le territoire – de 2004 à 2012</w:t>
      </w:r>
      <w:bookmarkEnd w:id="18"/>
    </w:p>
    <w:p w14:paraId="4A821FAC" w14:textId="77777777" w:rsidR="00C27F78" w:rsidRDefault="000016D2" w:rsidP="006B5D30">
      <w:pPr>
        <w:jc w:val="center"/>
      </w:pPr>
      <w:r>
        <w:rPr>
          <w:noProof/>
          <w:lang w:val="en-US"/>
        </w:rPr>
        <w:drawing>
          <wp:inline distT="0" distB="0" distL="0" distR="0" wp14:anchorId="1F2A004B" wp14:editId="2959EF60">
            <wp:extent cx="5565648" cy="6416040"/>
            <wp:effectExtent l="0" t="0" r="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ystemsPerformanceReport2015_FR_Fig3.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65648" cy="6416040"/>
                    </a:xfrm>
                    <a:prstGeom prst="rect">
                      <a:avLst/>
                    </a:prstGeom>
                  </pic:spPr>
                </pic:pic>
              </a:graphicData>
            </a:graphic>
          </wp:inline>
        </w:drawing>
      </w:r>
    </w:p>
    <w:p w14:paraId="7D05F454" w14:textId="77777777" w:rsidR="00C27F78" w:rsidRDefault="00C27F78" w:rsidP="006B5D30">
      <w:pPr>
        <w:jc w:val="center"/>
      </w:pPr>
      <w:r>
        <w:br w:type="page"/>
      </w:r>
    </w:p>
    <w:p w14:paraId="687B3B77" w14:textId="77777777" w:rsidR="000016D2" w:rsidRPr="000016D2" w:rsidRDefault="000016D2" w:rsidP="006B5D30">
      <w:pPr>
        <w:pStyle w:val="Heading1"/>
        <w:rPr>
          <w:rFonts w:eastAsia="Times New Roman"/>
          <w:lang w:val="fr-CA" w:eastAsia="en-CA"/>
        </w:rPr>
      </w:pPr>
      <w:bookmarkStart w:id="19" w:name="_Toc437589658"/>
      <w:r w:rsidRPr="000016D2">
        <w:rPr>
          <w:lang w:val="fr-CA"/>
        </w:rPr>
        <w:lastRenderedPageBreak/>
        <w:t xml:space="preserve">Figure 3.4 </w:t>
      </w:r>
      <w:r w:rsidRPr="000016D2">
        <w:rPr>
          <w:rFonts w:eastAsia="Times New Roman"/>
          <w:lang w:val="fr-CA" w:eastAsia="en-CA"/>
        </w:rPr>
        <w:t xml:space="preserve">Temps d'attente médian jusqu'à la résolution d'une anomalie au sein dépistée par biopsie tissulaire chez les femmes (de 50 à 69 ans), selon la province ou le territoire – </w:t>
      </w:r>
      <w:r w:rsidR="00E6422E">
        <w:rPr>
          <w:rFonts w:eastAsia="Times New Roman"/>
          <w:lang w:val="fr-CA" w:eastAsia="en-CA"/>
        </w:rPr>
        <w:t>pour la période allant de</w:t>
      </w:r>
      <w:r w:rsidRPr="000016D2">
        <w:rPr>
          <w:rFonts w:eastAsia="Times New Roman"/>
          <w:lang w:val="fr-CA" w:eastAsia="en-CA"/>
        </w:rPr>
        <w:t xml:space="preserve"> 2004 à 2012</w:t>
      </w:r>
      <w:bookmarkEnd w:id="19"/>
    </w:p>
    <w:p w14:paraId="5AA5354C" w14:textId="77777777" w:rsidR="00C27F78" w:rsidRDefault="000016D2" w:rsidP="006B5D30">
      <w:pPr>
        <w:jc w:val="center"/>
      </w:pPr>
      <w:r>
        <w:rPr>
          <w:noProof/>
          <w:lang w:val="en-US"/>
        </w:rPr>
        <w:drawing>
          <wp:inline distT="0" distB="0" distL="0" distR="0" wp14:anchorId="7A40FD34" wp14:editId="2A3EB119">
            <wp:extent cx="5565648" cy="6416040"/>
            <wp:effectExtent l="0" t="0" r="0"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ystemsPerformanceReport2015_FR_Fig3.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65648" cy="6416040"/>
                    </a:xfrm>
                    <a:prstGeom prst="rect">
                      <a:avLst/>
                    </a:prstGeom>
                  </pic:spPr>
                </pic:pic>
              </a:graphicData>
            </a:graphic>
          </wp:inline>
        </w:drawing>
      </w:r>
    </w:p>
    <w:p w14:paraId="0EFA8220" w14:textId="77777777" w:rsidR="000016D2" w:rsidRDefault="00C27F78" w:rsidP="006B5D30">
      <w:pPr>
        <w:jc w:val="center"/>
        <w:sectPr w:rsidR="000016D2" w:rsidSect="000016D2">
          <w:pgSz w:w="12240" w:h="15840"/>
          <w:pgMar w:top="1440" w:right="1440" w:bottom="1440" w:left="1440" w:header="708" w:footer="708" w:gutter="0"/>
          <w:cols w:space="708"/>
          <w:docGrid w:linePitch="360"/>
        </w:sectPr>
      </w:pPr>
      <w:r>
        <w:br w:type="page"/>
      </w:r>
    </w:p>
    <w:p w14:paraId="3B5EAD1D" w14:textId="77777777" w:rsidR="000016D2" w:rsidRPr="000016D2" w:rsidRDefault="000016D2" w:rsidP="006B5D30">
      <w:pPr>
        <w:pStyle w:val="Heading1"/>
        <w:rPr>
          <w:rFonts w:eastAsia="Times New Roman"/>
          <w:lang w:val="fr-CA" w:eastAsia="en-CA"/>
        </w:rPr>
      </w:pPr>
      <w:bookmarkStart w:id="20" w:name="_Toc437589659"/>
      <w:r w:rsidRPr="000016D2">
        <w:rPr>
          <w:lang w:val="fr-CA"/>
        </w:rPr>
        <w:lastRenderedPageBreak/>
        <w:t xml:space="preserve">Figure 3.5 </w:t>
      </w:r>
      <w:r w:rsidRPr="000016D2">
        <w:rPr>
          <w:rFonts w:eastAsia="Times New Roman"/>
          <w:lang w:val="fr-CA" w:eastAsia="en-CA"/>
        </w:rPr>
        <w:t>Temps d'attente médian et du 90</w:t>
      </w:r>
      <w:r w:rsidRPr="00E6422E">
        <w:rPr>
          <w:rFonts w:eastAsia="Times New Roman"/>
          <w:vertAlign w:val="superscript"/>
          <w:lang w:val="fr-CA" w:eastAsia="en-CA"/>
        </w:rPr>
        <w:t>e</w:t>
      </w:r>
      <w:r w:rsidRPr="000016D2">
        <w:rPr>
          <w:rFonts w:eastAsia="Times New Roman"/>
          <w:lang w:val="fr-CA" w:eastAsia="en-CA"/>
        </w:rPr>
        <w:t xml:space="preserve"> percentile entre une analyse des selles anormale</w:t>
      </w:r>
      <w:r w:rsidR="00E6422E">
        <w:rPr>
          <w:rFonts w:eastAsia="Times New Roman"/>
          <w:lang w:val="fr-CA" w:eastAsia="en-CA"/>
        </w:rPr>
        <w:t>s</w:t>
      </w:r>
      <w:r w:rsidRPr="000016D2">
        <w:rPr>
          <w:rFonts w:eastAsia="Times New Roman"/>
          <w:lang w:val="fr-CA" w:eastAsia="en-CA"/>
        </w:rPr>
        <w:t xml:space="preserve"> et une coloscopie de suivi, selon la province - première série de tests de dépistage effectuée entre le 1</w:t>
      </w:r>
      <w:r w:rsidRPr="00E6422E">
        <w:rPr>
          <w:rFonts w:eastAsia="Times New Roman"/>
          <w:vertAlign w:val="superscript"/>
          <w:lang w:val="fr-CA" w:eastAsia="en-CA"/>
        </w:rPr>
        <w:t>er</w:t>
      </w:r>
      <w:r w:rsidRPr="000016D2">
        <w:rPr>
          <w:rFonts w:eastAsia="Times New Roman"/>
          <w:lang w:val="fr-CA" w:eastAsia="en-CA"/>
        </w:rPr>
        <w:t xml:space="preserve"> janvier 2011 et le 31 décembre 2012</w:t>
      </w:r>
      <w:bookmarkEnd w:id="20"/>
    </w:p>
    <w:p w14:paraId="3A2400CF" w14:textId="77777777" w:rsidR="00C27F78" w:rsidRDefault="00C27F78" w:rsidP="006B5D30">
      <w:pPr>
        <w:jc w:val="center"/>
      </w:pPr>
      <w:r>
        <w:rPr>
          <w:noProof/>
          <w:lang w:val="en-US"/>
        </w:rPr>
        <w:drawing>
          <wp:inline distT="0" distB="0" distL="0" distR="0" wp14:anchorId="421CD3A4" wp14:editId="66EFFFF6">
            <wp:extent cx="5949537" cy="5084398"/>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ystemsPerformanceReport2015_FR_Fig3.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54876" cy="5088961"/>
                    </a:xfrm>
                    <a:prstGeom prst="rect">
                      <a:avLst/>
                    </a:prstGeom>
                  </pic:spPr>
                </pic:pic>
              </a:graphicData>
            </a:graphic>
          </wp:inline>
        </w:drawing>
      </w:r>
      <w:r>
        <w:br w:type="page"/>
      </w:r>
    </w:p>
    <w:p w14:paraId="123FE5C9" w14:textId="77777777" w:rsidR="000016D2" w:rsidRPr="000016D2" w:rsidRDefault="000016D2" w:rsidP="006B5D30">
      <w:pPr>
        <w:pStyle w:val="Heading1"/>
        <w:rPr>
          <w:rFonts w:eastAsia="Times New Roman"/>
          <w:lang w:val="fr-CA" w:eastAsia="en-CA"/>
        </w:rPr>
      </w:pPr>
      <w:bookmarkStart w:id="21" w:name="_Toc437589660"/>
      <w:r w:rsidRPr="000016D2">
        <w:rPr>
          <w:lang w:val="fr-CA"/>
        </w:rPr>
        <w:lastRenderedPageBreak/>
        <w:t xml:space="preserve">Figure 3.i </w:t>
      </w:r>
      <w:r w:rsidRPr="000016D2">
        <w:rPr>
          <w:rFonts w:eastAsia="Times New Roman"/>
          <w:lang w:val="fr-CA" w:eastAsia="en-CA"/>
        </w:rPr>
        <w:t>Nombre de scanners de tomographie par émission de positrons</w:t>
      </w:r>
      <w:r>
        <w:rPr>
          <w:rFonts w:eastAsia="Times New Roman"/>
          <w:lang w:val="fr-CA" w:eastAsia="en-CA"/>
        </w:rPr>
        <w:t xml:space="preserve"> (TEP)</w:t>
      </w:r>
      <w:r w:rsidRPr="000016D2">
        <w:rPr>
          <w:rFonts w:eastAsia="Times New Roman"/>
          <w:lang w:val="fr-CA" w:eastAsia="en-CA"/>
        </w:rPr>
        <w:t xml:space="preserve"> par province</w:t>
      </w:r>
      <w:bookmarkEnd w:id="21"/>
    </w:p>
    <w:p w14:paraId="385F08AB" w14:textId="77777777" w:rsidR="00C27F78" w:rsidRDefault="00C27F78" w:rsidP="006B5D30">
      <w:pPr>
        <w:jc w:val="center"/>
      </w:pPr>
      <w:r>
        <w:rPr>
          <w:noProof/>
          <w:lang w:val="en-US"/>
        </w:rPr>
        <w:drawing>
          <wp:inline distT="0" distB="0" distL="0" distR="0" wp14:anchorId="203B61DA" wp14:editId="2125A7BD">
            <wp:extent cx="6644640" cy="4663440"/>
            <wp:effectExtent l="0" t="0" r="381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ystemsPerformanceReport2015_FR_Fig3.i.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644640" cy="4663440"/>
                    </a:xfrm>
                    <a:prstGeom prst="rect">
                      <a:avLst/>
                    </a:prstGeom>
                  </pic:spPr>
                </pic:pic>
              </a:graphicData>
            </a:graphic>
          </wp:inline>
        </w:drawing>
      </w:r>
    </w:p>
    <w:p w14:paraId="30DC47E3" w14:textId="77777777" w:rsidR="00C27F78" w:rsidRDefault="00C27F78" w:rsidP="006B5D30">
      <w:pPr>
        <w:jc w:val="center"/>
      </w:pPr>
      <w:r>
        <w:br w:type="page"/>
      </w:r>
    </w:p>
    <w:p w14:paraId="0DBE990C" w14:textId="77777777" w:rsidR="006B5D30" w:rsidRPr="000016D2" w:rsidRDefault="006B5D30" w:rsidP="006B5D30">
      <w:pPr>
        <w:pStyle w:val="Heading1"/>
        <w:rPr>
          <w:rFonts w:eastAsia="Times New Roman"/>
          <w:lang w:val="fr-CA" w:eastAsia="en-CA"/>
        </w:rPr>
      </w:pPr>
      <w:bookmarkStart w:id="22" w:name="_Toc437589661"/>
      <w:r w:rsidRPr="000016D2">
        <w:rPr>
          <w:lang w:val="fr-CA"/>
        </w:rPr>
        <w:lastRenderedPageBreak/>
        <w:t xml:space="preserve">Figure 3.ii </w:t>
      </w:r>
      <w:r w:rsidRPr="000016D2">
        <w:rPr>
          <w:rFonts w:eastAsia="Times New Roman"/>
          <w:lang w:val="fr-CA" w:eastAsia="en-CA"/>
        </w:rPr>
        <w:t>Pourcentage des patients atteints d’un cancer du poumon non à petites cellules qui ont subi au moins un examen de tomographie par émission de positrons (TEP) au cours de la période comprise entre trois mois avant et un an après le diagnostic, selon la province − diagnostic établi entre 2009 et 2011</w:t>
      </w:r>
      <w:bookmarkEnd w:id="22"/>
    </w:p>
    <w:p w14:paraId="64022312" w14:textId="77777777" w:rsidR="006B5D30" w:rsidRDefault="006B5D30" w:rsidP="006B5D30">
      <w:pPr>
        <w:jc w:val="center"/>
      </w:pPr>
      <w:r>
        <w:rPr>
          <w:noProof/>
          <w:lang w:val="en-US"/>
        </w:rPr>
        <w:drawing>
          <wp:inline distT="0" distB="0" distL="0" distR="0" wp14:anchorId="3CA0B256" wp14:editId="7BE65B50">
            <wp:extent cx="6644640" cy="4191000"/>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ystemsPerformanceReport2015_FR_Fig3.ii.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644640" cy="4191000"/>
                    </a:xfrm>
                    <a:prstGeom prst="rect">
                      <a:avLst/>
                    </a:prstGeom>
                  </pic:spPr>
                </pic:pic>
              </a:graphicData>
            </a:graphic>
          </wp:inline>
        </w:drawing>
      </w:r>
    </w:p>
    <w:p w14:paraId="41084ED8" w14:textId="77777777" w:rsidR="006B5D30" w:rsidRDefault="006B5D30" w:rsidP="006B5D30">
      <w:pPr>
        <w:jc w:val="center"/>
      </w:pPr>
      <w:r>
        <w:br w:type="page"/>
      </w:r>
    </w:p>
    <w:p w14:paraId="76C57E1F" w14:textId="77777777" w:rsidR="006B5D30" w:rsidRPr="000016D2" w:rsidRDefault="006B5D30" w:rsidP="006B5D30">
      <w:pPr>
        <w:pStyle w:val="Heading1"/>
        <w:rPr>
          <w:rFonts w:eastAsia="Times New Roman"/>
          <w:lang w:val="fr-CA" w:eastAsia="en-CA"/>
        </w:rPr>
      </w:pPr>
      <w:bookmarkStart w:id="23" w:name="_Toc437589662"/>
      <w:r w:rsidRPr="000016D2">
        <w:rPr>
          <w:lang w:val="fr-CA"/>
        </w:rPr>
        <w:lastRenderedPageBreak/>
        <w:t xml:space="preserve">Figure 3.iii </w:t>
      </w:r>
      <w:r w:rsidRPr="000016D2">
        <w:rPr>
          <w:rFonts w:eastAsia="Times New Roman"/>
          <w:lang w:val="fr-CA" w:eastAsia="en-CA"/>
        </w:rPr>
        <w:t>Pourcentage des patients atteints d’un cancer du poumon non à petites cellules qui ont subi au moins un examen de tomographie par émission de positrons (TEP) au cours de la période comprise entre trois mois avant et un an après le diagnostic, selon la province et le groupe d’âge – diagnostic établi entre 2009 et 2011</w:t>
      </w:r>
      <w:bookmarkEnd w:id="23"/>
    </w:p>
    <w:p w14:paraId="11845A4F" w14:textId="77777777" w:rsidR="006B5D30" w:rsidRDefault="006B5D30" w:rsidP="006B5D30">
      <w:pPr>
        <w:jc w:val="center"/>
      </w:pPr>
      <w:r>
        <w:rPr>
          <w:noProof/>
          <w:lang w:val="en-US"/>
        </w:rPr>
        <w:drawing>
          <wp:inline distT="0" distB="0" distL="0" distR="0" wp14:anchorId="4F4A169B" wp14:editId="68520C9A">
            <wp:extent cx="6644640" cy="4306824"/>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ystemsPerformanceReport2015_FR_Fig3.iii.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644640" cy="4306824"/>
                    </a:xfrm>
                    <a:prstGeom prst="rect">
                      <a:avLst/>
                    </a:prstGeom>
                  </pic:spPr>
                </pic:pic>
              </a:graphicData>
            </a:graphic>
          </wp:inline>
        </w:drawing>
      </w:r>
    </w:p>
    <w:p w14:paraId="1D8943AC" w14:textId="77777777" w:rsidR="006B5D30" w:rsidRDefault="006B5D30" w:rsidP="006B5D30">
      <w:pPr>
        <w:jc w:val="center"/>
        <w:sectPr w:rsidR="006B5D30" w:rsidSect="000016D2">
          <w:pgSz w:w="15840" w:h="12240" w:orient="landscape"/>
          <w:pgMar w:top="1440" w:right="1440" w:bottom="1440" w:left="1440" w:header="708" w:footer="708" w:gutter="0"/>
          <w:cols w:space="708"/>
          <w:docGrid w:linePitch="360"/>
        </w:sectPr>
      </w:pPr>
      <w:r>
        <w:br w:type="page"/>
      </w:r>
    </w:p>
    <w:p w14:paraId="35F5CF16" w14:textId="77777777" w:rsidR="006B5D30" w:rsidRPr="000016D2" w:rsidRDefault="006B5D30" w:rsidP="006B5D30">
      <w:pPr>
        <w:pStyle w:val="Heading1"/>
        <w:rPr>
          <w:rFonts w:eastAsia="Times New Roman"/>
          <w:lang w:val="fr-CA" w:eastAsia="en-CA"/>
        </w:rPr>
      </w:pPr>
      <w:bookmarkStart w:id="24" w:name="_Toc437589663"/>
      <w:r w:rsidRPr="000016D2">
        <w:rPr>
          <w:lang w:val="fr-CA"/>
        </w:rPr>
        <w:lastRenderedPageBreak/>
        <w:t xml:space="preserve">Figure 3.iv </w:t>
      </w:r>
      <w:r w:rsidRPr="000016D2">
        <w:rPr>
          <w:rFonts w:eastAsia="Times New Roman"/>
          <w:lang w:val="fr-CA" w:eastAsia="en-CA"/>
        </w:rPr>
        <w:t>Pourcentage des patients atteints d’un cancer du poumon non à petites cellules qui ont subi au moins un examen de tomographie par émission de positrons (TEP) au cours de la période comprise entre trois mois avant et un an après le diagnostic, selon la province et le stade du cancer au moment du diagnostic – diagnostic établi entre 2009 et 2011</w:t>
      </w:r>
      <w:bookmarkEnd w:id="24"/>
    </w:p>
    <w:p w14:paraId="32166246" w14:textId="77777777" w:rsidR="006B5D30" w:rsidRDefault="006B5D30" w:rsidP="006B5D30">
      <w:pPr>
        <w:jc w:val="center"/>
      </w:pPr>
      <w:r>
        <w:rPr>
          <w:noProof/>
          <w:lang w:val="en-US"/>
        </w:rPr>
        <w:drawing>
          <wp:inline distT="0" distB="0" distL="0" distR="0" wp14:anchorId="2EBA570C" wp14:editId="3DAA3ECD">
            <wp:extent cx="5565648" cy="62484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ystemsPerformanceReport2015_FR_Fig3.iv.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65648" cy="6248400"/>
                    </a:xfrm>
                    <a:prstGeom prst="rect">
                      <a:avLst/>
                    </a:prstGeom>
                  </pic:spPr>
                </pic:pic>
              </a:graphicData>
            </a:graphic>
          </wp:inline>
        </w:drawing>
      </w:r>
    </w:p>
    <w:p w14:paraId="1FC4E4C2" w14:textId="77777777" w:rsidR="006B5D30" w:rsidRDefault="006B5D30" w:rsidP="006B5D30">
      <w:pPr>
        <w:jc w:val="center"/>
      </w:pPr>
      <w:r>
        <w:br w:type="page"/>
      </w:r>
    </w:p>
    <w:p w14:paraId="5F88AB56" w14:textId="77777777" w:rsidR="006B5D30" w:rsidRPr="000016D2" w:rsidRDefault="006B5D30" w:rsidP="006B5D30">
      <w:pPr>
        <w:pStyle w:val="Heading1"/>
        <w:rPr>
          <w:rFonts w:eastAsia="Times New Roman"/>
          <w:lang w:val="fr-CA" w:eastAsia="en-CA"/>
        </w:rPr>
      </w:pPr>
      <w:bookmarkStart w:id="25" w:name="_Toc437589664"/>
      <w:r w:rsidRPr="000016D2">
        <w:rPr>
          <w:lang w:val="fr-CA"/>
        </w:rPr>
        <w:lastRenderedPageBreak/>
        <w:t xml:space="preserve">Figure 3.v </w:t>
      </w:r>
      <w:r w:rsidRPr="000016D2">
        <w:rPr>
          <w:rFonts w:eastAsia="Times New Roman"/>
          <w:lang w:val="fr-CA" w:eastAsia="en-CA"/>
        </w:rPr>
        <w:t>Répartition du total des examens par TEP selon le stade du cancer à l'étape du diagnostic, chez les patients atteints d'un cancer non à petites cellules† qui ont reçu leur diagnostic entre 2009 et 2011 - selon la province</w:t>
      </w:r>
      <w:bookmarkEnd w:id="25"/>
      <w:r w:rsidRPr="000016D2">
        <w:rPr>
          <w:rFonts w:eastAsia="Times New Roman"/>
          <w:lang w:val="fr-CA" w:eastAsia="en-CA"/>
        </w:rPr>
        <w:t xml:space="preserve"> </w:t>
      </w:r>
    </w:p>
    <w:p w14:paraId="1921D950" w14:textId="77777777" w:rsidR="006B5D30" w:rsidRDefault="006B5D30" w:rsidP="006B5D30">
      <w:pPr>
        <w:jc w:val="center"/>
      </w:pPr>
      <w:r>
        <w:rPr>
          <w:noProof/>
          <w:lang w:val="en-US"/>
        </w:rPr>
        <w:drawing>
          <wp:inline distT="0" distB="0" distL="0" distR="0" wp14:anchorId="47381756" wp14:editId="4DE4286A">
            <wp:extent cx="5565648" cy="62484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ystemsPerformanceReport2015_FR_Fig3.v.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65648" cy="6248400"/>
                    </a:xfrm>
                    <a:prstGeom prst="rect">
                      <a:avLst/>
                    </a:prstGeom>
                  </pic:spPr>
                </pic:pic>
              </a:graphicData>
            </a:graphic>
          </wp:inline>
        </w:drawing>
      </w:r>
    </w:p>
    <w:p w14:paraId="429A8816" w14:textId="77777777" w:rsidR="006B5D30" w:rsidRDefault="006B5D30" w:rsidP="006B5D30">
      <w:pPr>
        <w:jc w:val="center"/>
        <w:sectPr w:rsidR="006B5D30" w:rsidSect="000016D2">
          <w:pgSz w:w="12240" w:h="15840"/>
          <w:pgMar w:top="1440" w:right="1440" w:bottom="1440" w:left="1440" w:header="708" w:footer="708" w:gutter="0"/>
          <w:cols w:space="708"/>
          <w:docGrid w:linePitch="360"/>
        </w:sectPr>
      </w:pPr>
      <w:r>
        <w:br w:type="page"/>
      </w:r>
    </w:p>
    <w:p w14:paraId="3D638C68" w14:textId="77777777" w:rsidR="006B5D30" w:rsidRPr="000016D2" w:rsidRDefault="006B5D30" w:rsidP="006B5D30">
      <w:pPr>
        <w:pStyle w:val="Heading1"/>
        <w:rPr>
          <w:rFonts w:eastAsia="Times New Roman"/>
          <w:lang w:val="fr-CA" w:eastAsia="en-CA"/>
        </w:rPr>
      </w:pPr>
      <w:bookmarkStart w:id="26" w:name="_Toc437589665"/>
      <w:r w:rsidRPr="000016D2">
        <w:rPr>
          <w:lang w:val="fr-CA"/>
        </w:rPr>
        <w:lastRenderedPageBreak/>
        <w:t xml:space="preserve">Figure 4.1 </w:t>
      </w:r>
      <w:r w:rsidRPr="000016D2">
        <w:rPr>
          <w:rFonts w:eastAsia="Times New Roman"/>
          <w:lang w:val="fr-CA" w:eastAsia="en-CA"/>
        </w:rPr>
        <w:t>Taux de résections du côlon comportant le prélèvement et l'examen d'au moins 12 ganglions lymphatiques, selon la province - diagnostic établie entre 2008 et 2011</w:t>
      </w:r>
      <w:bookmarkEnd w:id="26"/>
    </w:p>
    <w:p w14:paraId="2F0E5882" w14:textId="77777777" w:rsidR="006B5D30" w:rsidRDefault="006B5D30" w:rsidP="006B5D30">
      <w:pPr>
        <w:jc w:val="center"/>
      </w:pPr>
      <w:r>
        <w:rPr>
          <w:noProof/>
          <w:lang w:val="en-US"/>
        </w:rPr>
        <w:drawing>
          <wp:inline distT="0" distB="0" distL="0" distR="0" wp14:anchorId="44EF531C" wp14:editId="2C542287">
            <wp:extent cx="6644640" cy="4090416"/>
            <wp:effectExtent l="0" t="0" r="381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ystemsPerformanceReport2015_FR_Fig4.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44640" cy="4090416"/>
                    </a:xfrm>
                    <a:prstGeom prst="rect">
                      <a:avLst/>
                    </a:prstGeom>
                  </pic:spPr>
                </pic:pic>
              </a:graphicData>
            </a:graphic>
          </wp:inline>
        </w:drawing>
      </w:r>
    </w:p>
    <w:p w14:paraId="54664E30" w14:textId="77777777" w:rsidR="006B5D30" w:rsidRDefault="006B5D30" w:rsidP="006B5D30">
      <w:pPr>
        <w:jc w:val="center"/>
      </w:pPr>
      <w:r>
        <w:br w:type="page"/>
      </w:r>
    </w:p>
    <w:p w14:paraId="73D274E8" w14:textId="77777777" w:rsidR="006B5D30" w:rsidRPr="000016D2" w:rsidRDefault="006B5D30" w:rsidP="006B5D30">
      <w:pPr>
        <w:pStyle w:val="Heading1"/>
        <w:rPr>
          <w:rFonts w:eastAsia="Times New Roman"/>
          <w:lang w:val="fr-CA" w:eastAsia="en-CA"/>
        </w:rPr>
      </w:pPr>
      <w:bookmarkStart w:id="27" w:name="_Toc437589666"/>
      <w:r w:rsidRPr="000016D2">
        <w:rPr>
          <w:lang w:val="fr-CA"/>
        </w:rPr>
        <w:lastRenderedPageBreak/>
        <w:t xml:space="preserve">Figure 4.2 </w:t>
      </w:r>
      <w:r w:rsidRPr="000016D2">
        <w:rPr>
          <w:rFonts w:eastAsia="Times New Roman"/>
          <w:lang w:val="fr-CA" w:eastAsia="en-CA"/>
        </w:rPr>
        <w:t>Taux de résections du côlon comportant le prélèvement et l'examen d'au moins 12 ganglions lymphatiques, selon le groupe d'âge  -  diagnostic établi entre 2008 et 2011</w:t>
      </w:r>
      <w:bookmarkEnd w:id="27"/>
    </w:p>
    <w:p w14:paraId="6BDBD094" w14:textId="77777777" w:rsidR="006B5D30" w:rsidRDefault="006B5D30" w:rsidP="006B5D30">
      <w:pPr>
        <w:jc w:val="center"/>
      </w:pPr>
      <w:r>
        <w:rPr>
          <w:noProof/>
          <w:lang w:val="en-US"/>
        </w:rPr>
        <w:drawing>
          <wp:inline distT="0" distB="0" distL="0" distR="0" wp14:anchorId="32BD6837" wp14:editId="2753D149">
            <wp:extent cx="6644640" cy="4495800"/>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ystemsPerformanceReport2015_FR_Fig4.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44640" cy="4495800"/>
                    </a:xfrm>
                    <a:prstGeom prst="rect">
                      <a:avLst/>
                    </a:prstGeom>
                  </pic:spPr>
                </pic:pic>
              </a:graphicData>
            </a:graphic>
          </wp:inline>
        </w:drawing>
      </w:r>
    </w:p>
    <w:p w14:paraId="6ADDB7F9" w14:textId="77777777" w:rsidR="006B5D30" w:rsidRDefault="006B5D30" w:rsidP="006B5D30">
      <w:pPr>
        <w:jc w:val="center"/>
      </w:pPr>
      <w:r>
        <w:br w:type="page"/>
      </w:r>
    </w:p>
    <w:p w14:paraId="56E7AF2F" w14:textId="77777777" w:rsidR="006B5D30" w:rsidRPr="000016D2" w:rsidRDefault="006B5D30" w:rsidP="006B5D30">
      <w:pPr>
        <w:pStyle w:val="Heading1"/>
        <w:rPr>
          <w:rFonts w:eastAsia="Times New Roman"/>
          <w:lang w:val="fr-CA" w:eastAsia="en-CA"/>
        </w:rPr>
      </w:pPr>
      <w:bookmarkStart w:id="28" w:name="_Toc437589667"/>
      <w:r w:rsidRPr="000016D2">
        <w:rPr>
          <w:lang w:val="fr-CA"/>
        </w:rPr>
        <w:lastRenderedPageBreak/>
        <w:t xml:space="preserve">Figure 4.3 </w:t>
      </w:r>
      <w:r w:rsidRPr="000016D2">
        <w:rPr>
          <w:rFonts w:eastAsia="Times New Roman"/>
          <w:lang w:val="fr-CA" w:eastAsia="en-CA"/>
        </w:rPr>
        <w:t>Taux de résections du côlon comportant le prélèvement et l'examen d'au moins 12 ganglions lymphatiques, selon le groupe d'âge et le sexe - diagnostic établi en 2011</w:t>
      </w:r>
      <w:bookmarkEnd w:id="28"/>
    </w:p>
    <w:p w14:paraId="1138954A" w14:textId="77777777" w:rsidR="006B5D30" w:rsidRDefault="006B5D30" w:rsidP="006B5D30">
      <w:pPr>
        <w:jc w:val="center"/>
      </w:pPr>
      <w:r>
        <w:rPr>
          <w:noProof/>
          <w:lang w:val="en-US"/>
        </w:rPr>
        <w:drawing>
          <wp:inline distT="0" distB="0" distL="0" distR="0" wp14:anchorId="5590A60D" wp14:editId="293F13F8">
            <wp:extent cx="5565648" cy="461162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ystemsPerformanceReport2015_FR_Fig4.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65648" cy="4611624"/>
                    </a:xfrm>
                    <a:prstGeom prst="rect">
                      <a:avLst/>
                    </a:prstGeom>
                  </pic:spPr>
                </pic:pic>
              </a:graphicData>
            </a:graphic>
          </wp:inline>
        </w:drawing>
      </w:r>
    </w:p>
    <w:p w14:paraId="42C3EAFC" w14:textId="77777777" w:rsidR="006B5D30" w:rsidRDefault="006B5D30" w:rsidP="006B5D30">
      <w:pPr>
        <w:jc w:val="center"/>
      </w:pPr>
      <w:r>
        <w:br w:type="page"/>
      </w:r>
    </w:p>
    <w:p w14:paraId="711A9ABD" w14:textId="77777777" w:rsidR="006B5D30" w:rsidRPr="000016D2" w:rsidRDefault="006B5D30" w:rsidP="006B5D30">
      <w:pPr>
        <w:pStyle w:val="Heading1"/>
        <w:rPr>
          <w:rFonts w:eastAsia="Times New Roman"/>
          <w:lang w:val="fr-CA" w:eastAsia="en-CA"/>
        </w:rPr>
      </w:pPr>
      <w:bookmarkStart w:id="29" w:name="_Toc437589668"/>
      <w:r w:rsidRPr="000016D2">
        <w:rPr>
          <w:lang w:val="fr-CA"/>
        </w:rPr>
        <w:lastRenderedPageBreak/>
        <w:t xml:space="preserve">Figure 4.4 </w:t>
      </w:r>
      <w:r w:rsidRPr="000016D2">
        <w:rPr>
          <w:rFonts w:eastAsia="Times New Roman"/>
          <w:lang w:val="fr-CA" w:eastAsia="en-CA"/>
        </w:rPr>
        <w:t>Taux de résections de tumeurs mammaires cancéreuses qui sont des mastectomies, selon la by province ou le territoire - pour les exercices 2008-2009 à 2012-2013 pris ensemble</w:t>
      </w:r>
      <w:bookmarkEnd w:id="29"/>
    </w:p>
    <w:p w14:paraId="24AF32A8" w14:textId="77777777" w:rsidR="006B5D30" w:rsidRDefault="006B5D30" w:rsidP="006B5D30">
      <w:pPr>
        <w:jc w:val="center"/>
      </w:pPr>
      <w:r>
        <w:rPr>
          <w:noProof/>
          <w:lang w:val="en-US"/>
        </w:rPr>
        <w:drawing>
          <wp:inline distT="0" distB="0" distL="0" distR="0" wp14:anchorId="73EDE35D" wp14:editId="08385190">
            <wp:extent cx="6644640" cy="4282440"/>
            <wp:effectExtent l="0" t="0" r="381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ystemsPerformanceReport2015_FR_Fig4.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644640" cy="4282440"/>
                    </a:xfrm>
                    <a:prstGeom prst="rect">
                      <a:avLst/>
                    </a:prstGeom>
                  </pic:spPr>
                </pic:pic>
              </a:graphicData>
            </a:graphic>
          </wp:inline>
        </w:drawing>
      </w:r>
    </w:p>
    <w:p w14:paraId="70372361" w14:textId="77777777" w:rsidR="006B5D30" w:rsidRDefault="006B5D30" w:rsidP="006B5D30">
      <w:pPr>
        <w:jc w:val="center"/>
        <w:sectPr w:rsidR="006B5D30" w:rsidSect="000016D2">
          <w:pgSz w:w="15840" w:h="12240" w:orient="landscape"/>
          <w:pgMar w:top="1440" w:right="1440" w:bottom="1440" w:left="1440" w:header="708" w:footer="708" w:gutter="0"/>
          <w:cols w:space="708"/>
          <w:docGrid w:linePitch="360"/>
        </w:sectPr>
      </w:pPr>
      <w:r>
        <w:br w:type="page"/>
      </w:r>
    </w:p>
    <w:p w14:paraId="0E5543F7" w14:textId="77777777" w:rsidR="006B5D30" w:rsidRPr="00B33340" w:rsidRDefault="006B5D30" w:rsidP="006B5D30">
      <w:pPr>
        <w:pStyle w:val="Heading1"/>
        <w:rPr>
          <w:rFonts w:eastAsia="Times New Roman"/>
          <w:lang w:val="fr-CA" w:eastAsia="en-CA"/>
        </w:rPr>
      </w:pPr>
      <w:bookmarkStart w:id="30" w:name="_Toc437589669"/>
      <w:r w:rsidRPr="00B33340">
        <w:rPr>
          <w:lang w:val="fr-CA"/>
        </w:rPr>
        <w:lastRenderedPageBreak/>
        <w:t xml:space="preserve">Figure 4.5 </w:t>
      </w:r>
      <w:r w:rsidRPr="00B33340">
        <w:rPr>
          <w:rFonts w:eastAsia="Times New Roman"/>
          <w:lang w:val="fr-CA" w:eastAsia="en-CA"/>
        </w:rPr>
        <w:t>Temps d'attente médian et du 90</w:t>
      </w:r>
      <w:r w:rsidRPr="00B33340">
        <w:rPr>
          <w:rFonts w:eastAsia="Times New Roman"/>
          <w:vertAlign w:val="superscript"/>
          <w:lang w:val="fr-CA" w:eastAsia="en-CA"/>
        </w:rPr>
        <w:t>e</w:t>
      </w:r>
      <w:r w:rsidRPr="00B33340">
        <w:rPr>
          <w:rFonts w:eastAsia="Times New Roman"/>
          <w:lang w:val="fr-CA" w:eastAsia="en-CA"/>
        </w:rPr>
        <w:t xml:space="preserve"> percentile en radiothérapie, tous les cancers, selon la province – traitement suivi en 2013</w:t>
      </w:r>
      <w:bookmarkEnd w:id="30"/>
    </w:p>
    <w:p w14:paraId="781D1ACB" w14:textId="77777777" w:rsidR="006B5D30" w:rsidRDefault="006B5D30" w:rsidP="006B5D30">
      <w:pPr>
        <w:jc w:val="center"/>
      </w:pPr>
      <w:r>
        <w:rPr>
          <w:noProof/>
          <w:lang w:val="en-US"/>
        </w:rPr>
        <w:drawing>
          <wp:inline distT="0" distB="0" distL="0" distR="0" wp14:anchorId="739DAEA4" wp14:editId="0341C5AA">
            <wp:extent cx="5391150" cy="5943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ystemsPerformanceReport2015_FR_Fig4.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91150" cy="5943600"/>
                    </a:xfrm>
                    <a:prstGeom prst="rect">
                      <a:avLst/>
                    </a:prstGeom>
                  </pic:spPr>
                </pic:pic>
              </a:graphicData>
            </a:graphic>
          </wp:inline>
        </w:drawing>
      </w:r>
    </w:p>
    <w:p w14:paraId="0F99C334" w14:textId="77777777" w:rsidR="006B5D30" w:rsidRDefault="006B5D30" w:rsidP="006B5D30">
      <w:pPr>
        <w:jc w:val="center"/>
      </w:pPr>
      <w:r>
        <w:br w:type="page"/>
      </w:r>
    </w:p>
    <w:p w14:paraId="18E25345" w14:textId="77777777" w:rsidR="006B5D30" w:rsidRPr="00B33340" w:rsidRDefault="006B5D30" w:rsidP="006B5D30">
      <w:pPr>
        <w:pStyle w:val="Heading1"/>
        <w:rPr>
          <w:rFonts w:eastAsia="Times New Roman"/>
          <w:lang w:val="fr-CA" w:eastAsia="en-CA"/>
        </w:rPr>
      </w:pPr>
      <w:bookmarkStart w:id="31" w:name="_Toc437589670"/>
      <w:r w:rsidRPr="00B33340">
        <w:rPr>
          <w:lang w:val="fr-CA"/>
        </w:rPr>
        <w:lastRenderedPageBreak/>
        <w:t xml:space="preserve">Figure 4.6 </w:t>
      </w:r>
      <w:r w:rsidRPr="00B33340">
        <w:rPr>
          <w:rFonts w:eastAsia="Times New Roman"/>
          <w:lang w:val="fr-CA" w:eastAsia="en-CA"/>
        </w:rPr>
        <w:t>Temps d'attente du 90</w:t>
      </w:r>
      <w:r w:rsidRPr="00B33340">
        <w:rPr>
          <w:rFonts w:eastAsia="Times New Roman"/>
          <w:vertAlign w:val="superscript"/>
          <w:lang w:val="fr-CA" w:eastAsia="en-CA"/>
        </w:rPr>
        <w:t>e</w:t>
      </w:r>
      <w:r w:rsidRPr="00B33340">
        <w:rPr>
          <w:rFonts w:eastAsia="Times New Roman"/>
          <w:lang w:val="fr-CA" w:eastAsia="en-CA"/>
        </w:rPr>
        <w:t xml:space="preserve"> percentile en radiothérapie, selon le type de cancer et la province - traitement suivi en 2013</w:t>
      </w:r>
      <w:bookmarkEnd w:id="31"/>
      <w:r w:rsidRPr="00B33340">
        <w:rPr>
          <w:rFonts w:eastAsia="Times New Roman"/>
          <w:lang w:val="fr-CA" w:eastAsia="en-CA"/>
        </w:rPr>
        <w:t xml:space="preserve"> </w:t>
      </w:r>
    </w:p>
    <w:p w14:paraId="3DA14C71" w14:textId="77777777" w:rsidR="006B5D30" w:rsidRDefault="006B5D30" w:rsidP="006B5D30">
      <w:pPr>
        <w:jc w:val="center"/>
        <w:sectPr w:rsidR="006B5D30" w:rsidSect="00B33340">
          <w:pgSz w:w="12240" w:h="15840"/>
          <w:pgMar w:top="1440" w:right="1440" w:bottom="1440" w:left="1440" w:header="708" w:footer="708" w:gutter="0"/>
          <w:cols w:space="708"/>
          <w:docGrid w:linePitch="360"/>
        </w:sectPr>
      </w:pPr>
      <w:r>
        <w:rPr>
          <w:noProof/>
          <w:lang w:val="en-US"/>
        </w:rPr>
        <w:drawing>
          <wp:inline distT="0" distB="0" distL="0" distR="0" wp14:anchorId="0D48B672" wp14:editId="398BE2EC">
            <wp:extent cx="5747657" cy="7659245"/>
            <wp:effectExtent l="0" t="0" r="571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ystemsPerformanceReport2015_FR_Fig4.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6000" cy="7670363"/>
                    </a:xfrm>
                    <a:prstGeom prst="rect">
                      <a:avLst/>
                    </a:prstGeom>
                  </pic:spPr>
                </pic:pic>
              </a:graphicData>
            </a:graphic>
          </wp:inline>
        </w:drawing>
      </w:r>
      <w:r>
        <w:br w:type="page"/>
      </w:r>
    </w:p>
    <w:p w14:paraId="6FFE64BD" w14:textId="77777777" w:rsidR="006B5D30" w:rsidRPr="00B33340" w:rsidRDefault="006B5D30" w:rsidP="006B5D30">
      <w:pPr>
        <w:pStyle w:val="Heading1"/>
        <w:rPr>
          <w:rFonts w:eastAsia="Times New Roman"/>
          <w:lang w:val="fr-CA" w:eastAsia="en-CA"/>
        </w:rPr>
      </w:pPr>
      <w:bookmarkStart w:id="32" w:name="_Toc437589671"/>
      <w:r w:rsidRPr="00B33340">
        <w:rPr>
          <w:lang w:val="fr-CA"/>
        </w:rPr>
        <w:lastRenderedPageBreak/>
        <w:t xml:space="preserve">Figure 4.7 </w:t>
      </w:r>
      <w:r w:rsidRPr="00B33340">
        <w:rPr>
          <w:rFonts w:eastAsia="Times New Roman"/>
          <w:lang w:val="fr-CA" w:eastAsia="en-CA"/>
        </w:rPr>
        <w:t>Pourcentage des patients atteints d'un cancer du rectum de stade II ou de stade III ayant subi une radiothérapie avant la chirurgie, selon la province –  diagnostic établi de 2008 à 2011</w:t>
      </w:r>
      <w:bookmarkEnd w:id="32"/>
    </w:p>
    <w:p w14:paraId="0D6B90C3" w14:textId="77777777" w:rsidR="006B5D30" w:rsidRDefault="006B5D30" w:rsidP="006B5D30">
      <w:pPr>
        <w:jc w:val="center"/>
      </w:pPr>
      <w:r>
        <w:rPr>
          <w:noProof/>
          <w:lang w:val="en-US"/>
        </w:rPr>
        <w:drawing>
          <wp:inline distT="0" distB="0" distL="0" distR="0" wp14:anchorId="468D4859" wp14:editId="351D59F8">
            <wp:extent cx="6644640" cy="4230624"/>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ystemsPerformanceReport2015_FR_Fig4.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644640" cy="4230624"/>
                    </a:xfrm>
                    <a:prstGeom prst="rect">
                      <a:avLst/>
                    </a:prstGeom>
                  </pic:spPr>
                </pic:pic>
              </a:graphicData>
            </a:graphic>
          </wp:inline>
        </w:drawing>
      </w:r>
    </w:p>
    <w:p w14:paraId="729D441B" w14:textId="77777777" w:rsidR="006B5D30" w:rsidRDefault="006B5D30" w:rsidP="006B5D30">
      <w:pPr>
        <w:jc w:val="center"/>
      </w:pPr>
      <w:r>
        <w:br w:type="page"/>
      </w:r>
    </w:p>
    <w:p w14:paraId="164AB3A7" w14:textId="77777777" w:rsidR="006B5D30" w:rsidRPr="00B33340" w:rsidRDefault="006B5D30" w:rsidP="006B5D30">
      <w:pPr>
        <w:pStyle w:val="Heading1"/>
        <w:rPr>
          <w:rFonts w:eastAsia="Times New Roman"/>
          <w:lang w:val="fr-CA" w:eastAsia="en-CA"/>
        </w:rPr>
      </w:pPr>
      <w:bookmarkStart w:id="33" w:name="_Toc437589672"/>
      <w:r w:rsidRPr="00B33340">
        <w:rPr>
          <w:lang w:val="fr-CA"/>
        </w:rPr>
        <w:lastRenderedPageBreak/>
        <w:t xml:space="preserve">Figure 4.8 </w:t>
      </w:r>
      <w:r w:rsidRPr="00B33340">
        <w:rPr>
          <w:rFonts w:eastAsia="Times New Roman"/>
          <w:lang w:val="fr-CA" w:eastAsia="en-CA"/>
        </w:rPr>
        <w:t>Pourcentage de patients atteints d'un cancer du rectum de stade II ou de stade III ayant suivi une radiothérapie avant la chirurgie, selon le groupe d'âge – diagnostic établi entre 2008 et 2011</w:t>
      </w:r>
      <w:bookmarkEnd w:id="33"/>
    </w:p>
    <w:p w14:paraId="4ADABA40" w14:textId="77777777" w:rsidR="006B5D30" w:rsidRDefault="006B5D30" w:rsidP="006B5D30">
      <w:pPr>
        <w:jc w:val="center"/>
      </w:pPr>
      <w:r>
        <w:rPr>
          <w:noProof/>
          <w:lang w:val="en-US"/>
        </w:rPr>
        <w:drawing>
          <wp:inline distT="0" distB="0" distL="0" distR="0" wp14:anchorId="42115E8D" wp14:editId="2F6530CC">
            <wp:extent cx="6644640" cy="4459224"/>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ystemsPerformanceReport2015_FR_Fig4.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644640" cy="4459224"/>
                    </a:xfrm>
                    <a:prstGeom prst="rect">
                      <a:avLst/>
                    </a:prstGeom>
                  </pic:spPr>
                </pic:pic>
              </a:graphicData>
            </a:graphic>
          </wp:inline>
        </w:drawing>
      </w:r>
    </w:p>
    <w:p w14:paraId="44280603" w14:textId="77777777" w:rsidR="006B5D30" w:rsidRDefault="006B5D30" w:rsidP="006B5D30">
      <w:pPr>
        <w:jc w:val="center"/>
      </w:pPr>
      <w:r>
        <w:br w:type="page"/>
      </w:r>
    </w:p>
    <w:p w14:paraId="4E7B75FC" w14:textId="77777777" w:rsidR="006B5D30" w:rsidRPr="00B33340" w:rsidRDefault="006B5D30" w:rsidP="006B5D30">
      <w:pPr>
        <w:pStyle w:val="Heading1"/>
        <w:rPr>
          <w:rFonts w:eastAsia="Times New Roman"/>
          <w:lang w:val="fr-CA" w:eastAsia="en-CA"/>
        </w:rPr>
      </w:pPr>
      <w:bookmarkStart w:id="34" w:name="_Toc437589673"/>
      <w:r w:rsidRPr="00B33340">
        <w:rPr>
          <w:lang w:val="fr-CA"/>
        </w:rPr>
        <w:lastRenderedPageBreak/>
        <w:t xml:space="preserve">Figure 4.9 </w:t>
      </w:r>
      <w:r w:rsidRPr="00B33340">
        <w:rPr>
          <w:rFonts w:eastAsia="Times New Roman"/>
          <w:lang w:val="fr-CA" w:eastAsia="en-CA"/>
        </w:rPr>
        <w:t xml:space="preserve">Pourcentage de patients atteints d'un cancer du rectum de stade II ou de stade </w:t>
      </w:r>
      <w:proofErr w:type="spellStart"/>
      <w:r w:rsidRPr="00B33340">
        <w:rPr>
          <w:rFonts w:eastAsia="Times New Roman"/>
          <w:lang w:val="fr-CA" w:eastAsia="en-CA"/>
        </w:rPr>
        <w:t>lll</w:t>
      </w:r>
      <w:proofErr w:type="spellEnd"/>
      <w:r w:rsidRPr="00B33340">
        <w:rPr>
          <w:rFonts w:eastAsia="Times New Roman"/>
          <w:lang w:val="fr-CA" w:eastAsia="en-CA"/>
        </w:rPr>
        <w:t xml:space="preserve"> ayant suivi une radiothérapie avant la chirurgie, selon le groupe d'âge et le sexe – diagnostic établi en 2011</w:t>
      </w:r>
      <w:bookmarkEnd w:id="34"/>
      <w:r w:rsidRPr="00B33340">
        <w:rPr>
          <w:rFonts w:eastAsia="Times New Roman"/>
          <w:lang w:val="fr-CA" w:eastAsia="en-CA"/>
        </w:rPr>
        <w:t xml:space="preserve"> </w:t>
      </w:r>
    </w:p>
    <w:p w14:paraId="716A16AA" w14:textId="77777777" w:rsidR="006B5D30" w:rsidRDefault="006B5D30" w:rsidP="006B5D30">
      <w:pPr>
        <w:jc w:val="center"/>
      </w:pPr>
      <w:r>
        <w:rPr>
          <w:noProof/>
          <w:lang w:val="en-US"/>
        </w:rPr>
        <w:drawing>
          <wp:inline distT="0" distB="0" distL="0" distR="0" wp14:anchorId="580DD953" wp14:editId="26572F7A">
            <wp:extent cx="4547616" cy="4700016"/>
            <wp:effectExtent l="0" t="0" r="5715"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ystemsPerformanceReport2015_FR_Fig4.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47616" cy="4700016"/>
                    </a:xfrm>
                    <a:prstGeom prst="rect">
                      <a:avLst/>
                    </a:prstGeom>
                  </pic:spPr>
                </pic:pic>
              </a:graphicData>
            </a:graphic>
          </wp:inline>
        </w:drawing>
      </w:r>
    </w:p>
    <w:p w14:paraId="0DF47AF6" w14:textId="77777777" w:rsidR="006B5D30" w:rsidRDefault="006B5D30" w:rsidP="006B5D30">
      <w:pPr>
        <w:jc w:val="center"/>
      </w:pPr>
      <w:r>
        <w:br w:type="page"/>
      </w:r>
    </w:p>
    <w:p w14:paraId="771DE4F0" w14:textId="77777777" w:rsidR="006B5D30" w:rsidRPr="00B33340" w:rsidRDefault="006B5D30" w:rsidP="006B5D30">
      <w:pPr>
        <w:pStyle w:val="Heading1"/>
        <w:rPr>
          <w:rFonts w:eastAsia="Times New Roman"/>
          <w:lang w:val="fr-CA" w:eastAsia="en-CA"/>
        </w:rPr>
      </w:pPr>
      <w:bookmarkStart w:id="35" w:name="_Toc437589674"/>
      <w:r w:rsidRPr="00B33340">
        <w:rPr>
          <w:lang w:val="fr-CA"/>
        </w:rPr>
        <w:lastRenderedPageBreak/>
        <w:t xml:space="preserve">Figure 4.10 </w:t>
      </w:r>
      <w:r w:rsidRPr="00B33340">
        <w:rPr>
          <w:rFonts w:eastAsia="Times New Roman"/>
          <w:lang w:val="fr-CA" w:eastAsia="en-CA"/>
        </w:rPr>
        <w:t>Pourcentage des patients atteints d’un cancer du poumon « non à petites cellules » de stade II ou IIIA ayant subi une chimiothérapie après la résection chirurgicale, selon la province – diagnostic établi entre 2009 et 2011</w:t>
      </w:r>
      <w:bookmarkEnd w:id="35"/>
    </w:p>
    <w:p w14:paraId="50E4C685" w14:textId="77777777" w:rsidR="006B5D30" w:rsidRDefault="006B5D30" w:rsidP="006B5D30">
      <w:pPr>
        <w:jc w:val="center"/>
      </w:pPr>
      <w:r>
        <w:rPr>
          <w:noProof/>
          <w:lang w:val="en-US"/>
        </w:rPr>
        <w:drawing>
          <wp:inline distT="0" distB="0" distL="0" distR="0" wp14:anchorId="79C52B7E" wp14:editId="1C226840">
            <wp:extent cx="6644640" cy="4267200"/>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ystemsPerformanceReport2015_FR_Fig4.1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644640" cy="4267200"/>
                    </a:xfrm>
                    <a:prstGeom prst="rect">
                      <a:avLst/>
                    </a:prstGeom>
                  </pic:spPr>
                </pic:pic>
              </a:graphicData>
            </a:graphic>
          </wp:inline>
        </w:drawing>
      </w:r>
    </w:p>
    <w:p w14:paraId="73A0B58E" w14:textId="77777777" w:rsidR="006B5D30" w:rsidRDefault="006B5D30" w:rsidP="006B5D30">
      <w:pPr>
        <w:jc w:val="center"/>
        <w:sectPr w:rsidR="006B5D30" w:rsidSect="00B33340">
          <w:pgSz w:w="15840" w:h="12240" w:orient="landscape"/>
          <w:pgMar w:top="1440" w:right="1440" w:bottom="1440" w:left="1440" w:header="708" w:footer="708" w:gutter="0"/>
          <w:cols w:space="708"/>
          <w:docGrid w:linePitch="360"/>
        </w:sectPr>
      </w:pPr>
      <w:r>
        <w:br w:type="page"/>
      </w:r>
    </w:p>
    <w:p w14:paraId="7761EF3C" w14:textId="77777777" w:rsidR="006B5D30" w:rsidRPr="00B33340" w:rsidRDefault="006B5D30" w:rsidP="006B5D30">
      <w:pPr>
        <w:pStyle w:val="Heading1"/>
        <w:rPr>
          <w:rFonts w:eastAsia="Times New Roman"/>
          <w:lang w:val="fr-CA" w:eastAsia="en-CA"/>
        </w:rPr>
      </w:pPr>
      <w:bookmarkStart w:id="36" w:name="_Toc437589675"/>
      <w:r w:rsidRPr="00B33340">
        <w:rPr>
          <w:lang w:val="fr-CA"/>
        </w:rPr>
        <w:lastRenderedPageBreak/>
        <w:t xml:space="preserve">Figure 4.11 </w:t>
      </w:r>
      <w:r w:rsidRPr="00B33340">
        <w:rPr>
          <w:rFonts w:eastAsia="Times New Roman"/>
          <w:lang w:val="fr-CA" w:eastAsia="en-CA"/>
        </w:rPr>
        <w:t>Pourcentage des patients atteints d’un cancer du poumon « non à petites cellules » de stade II ou IIIA ayant subi une chimiothérapie après la résection chirurgicale, selon le groupe d’âge – diagnostic établi entre 2009 et 2011</w:t>
      </w:r>
      <w:bookmarkEnd w:id="36"/>
    </w:p>
    <w:p w14:paraId="0323CB4F" w14:textId="77777777" w:rsidR="006B5D30" w:rsidRDefault="006B5D30" w:rsidP="006B5D30">
      <w:pPr>
        <w:jc w:val="center"/>
      </w:pPr>
      <w:r>
        <w:rPr>
          <w:noProof/>
          <w:lang w:val="en-US"/>
        </w:rPr>
        <w:drawing>
          <wp:inline distT="0" distB="0" distL="0" distR="0" wp14:anchorId="6F06333E" wp14:editId="5BE8C31D">
            <wp:extent cx="5565648" cy="560222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ystemsPerformanceReport2015_FR_Fig4.1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65648" cy="5602224"/>
                    </a:xfrm>
                    <a:prstGeom prst="rect">
                      <a:avLst/>
                    </a:prstGeom>
                  </pic:spPr>
                </pic:pic>
              </a:graphicData>
            </a:graphic>
          </wp:inline>
        </w:drawing>
      </w:r>
    </w:p>
    <w:p w14:paraId="0F3B4894" w14:textId="77777777" w:rsidR="006B5D30" w:rsidRDefault="006B5D30" w:rsidP="006B5D30">
      <w:pPr>
        <w:jc w:val="center"/>
      </w:pPr>
      <w:r>
        <w:br w:type="page"/>
      </w:r>
    </w:p>
    <w:p w14:paraId="705C160E" w14:textId="77777777" w:rsidR="006B5D30" w:rsidRPr="00B33340" w:rsidRDefault="006B5D30" w:rsidP="006B5D30">
      <w:pPr>
        <w:pStyle w:val="Heading1"/>
        <w:rPr>
          <w:rFonts w:eastAsia="Times New Roman"/>
          <w:lang w:val="fr-CA" w:eastAsia="en-CA"/>
        </w:rPr>
      </w:pPr>
      <w:bookmarkStart w:id="37" w:name="_Toc437589676"/>
      <w:r w:rsidRPr="00B33340">
        <w:rPr>
          <w:lang w:val="fr-CA"/>
        </w:rPr>
        <w:lastRenderedPageBreak/>
        <w:t xml:space="preserve">Figure 4.12 </w:t>
      </w:r>
      <w:r w:rsidRPr="00B33340">
        <w:rPr>
          <w:rFonts w:eastAsia="Times New Roman"/>
          <w:lang w:val="fr-CA" w:eastAsia="en-CA"/>
        </w:rPr>
        <w:t>Pourcentage des patients atteints d’un cancer du poumon « non à petites cellules » de stade II ou IIIA ayant subi une chimiothérapie après la résection chirurgicale, selon le groupe d’âge et le sexe – diagnostic établi en 2011</w:t>
      </w:r>
      <w:bookmarkEnd w:id="37"/>
    </w:p>
    <w:p w14:paraId="17C70216" w14:textId="77777777" w:rsidR="006B5D30" w:rsidRDefault="006B5D30" w:rsidP="006B5D30">
      <w:pPr>
        <w:jc w:val="center"/>
      </w:pPr>
      <w:r>
        <w:rPr>
          <w:noProof/>
          <w:lang w:val="en-US"/>
        </w:rPr>
        <w:drawing>
          <wp:inline distT="0" distB="0" distL="0" distR="0" wp14:anchorId="0B921777" wp14:editId="7E9AE13B">
            <wp:extent cx="5565648" cy="489204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ystemsPerformanceReport2015_FR_Fig4.1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65648" cy="4892040"/>
                    </a:xfrm>
                    <a:prstGeom prst="rect">
                      <a:avLst/>
                    </a:prstGeom>
                  </pic:spPr>
                </pic:pic>
              </a:graphicData>
            </a:graphic>
          </wp:inline>
        </w:drawing>
      </w:r>
    </w:p>
    <w:p w14:paraId="48A7C827" w14:textId="77777777" w:rsidR="006B5D30" w:rsidRDefault="006B5D30" w:rsidP="006B5D30">
      <w:pPr>
        <w:jc w:val="center"/>
      </w:pPr>
      <w:r>
        <w:br w:type="page"/>
      </w:r>
    </w:p>
    <w:p w14:paraId="67B668EA" w14:textId="77777777" w:rsidR="006B5D30" w:rsidRPr="00B33340" w:rsidRDefault="006B5D30" w:rsidP="006B5D30">
      <w:pPr>
        <w:pStyle w:val="Heading1"/>
        <w:rPr>
          <w:rFonts w:eastAsia="Times New Roman"/>
          <w:lang w:val="fr-CA" w:eastAsia="en-CA"/>
        </w:rPr>
      </w:pPr>
      <w:bookmarkStart w:id="38" w:name="_Toc437589677"/>
      <w:r w:rsidRPr="00B33340">
        <w:rPr>
          <w:lang w:val="fr-CA"/>
        </w:rPr>
        <w:lastRenderedPageBreak/>
        <w:t xml:space="preserve">Figure 5.1 </w:t>
      </w:r>
      <w:r w:rsidRPr="00B33340">
        <w:rPr>
          <w:rFonts w:eastAsia="Times New Roman"/>
          <w:lang w:val="fr-CA" w:eastAsia="en-CA"/>
        </w:rPr>
        <w:t>Étendue de l’utilisation d’outils normalisés de dépistage de la détresse dans les cliniques des organismes et programmes provinciaux de lutte contre le cancer - 2014</w:t>
      </w:r>
      <w:bookmarkEnd w:id="38"/>
    </w:p>
    <w:p w14:paraId="5BE3D6A9" w14:textId="77777777" w:rsidR="006B5D30" w:rsidRDefault="006B5D30" w:rsidP="006B5D30">
      <w:pPr>
        <w:jc w:val="center"/>
      </w:pPr>
      <w:r>
        <w:rPr>
          <w:noProof/>
          <w:lang w:val="en-US"/>
        </w:rPr>
        <w:drawing>
          <wp:inline distT="0" distB="0" distL="0" distR="0" wp14:anchorId="16BF8CB2" wp14:editId="4D8550AB">
            <wp:extent cx="5450774" cy="741852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ystemsPerformanceReport2015_FR_Fig5.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57160" cy="7427219"/>
                    </a:xfrm>
                    <a:prstGeom prst="rect">
                      <a:avLst/>
                    </a:prstGeom>
                  </pic:spPr>
                </pic:pic>
              </a:graphicData>
            </a:graphic>
          </wp:inline>
        </w:drawing>
      </w:r>
      <w:r>
        <w:br w:type="page"/>
      </w:r>
    </w:p>
    <w:p w14:paraId="4EAF02AF" w14:textId="77777777" w:rsidR="006B5D30" w:rsidRPr="00BF3E6A" w:rsidRDefault="006B5D30" w:rsidP="006B5D30">
      <w:pPr>
        <w:pStyle w:val="Heading1"/>
        <w:rPr>
          <w:rFonts w:eastAsia="Times New Roman"/>
          <w:lang w:val="fr-CA" w:eastAsia="en-CA"/>
        </w:rPr>
      </w:pPr>
      <w:bookmarkStart w:id="39" w:name="_Toc437589678"/>
      <w:r w:rsidRPr="00BF3E6A">
        <w:rPr>
          <w:rFonts w:eastAsia="Times New Roman"/>
          <w:lang w:val="fr-CA" w:eastAsia="en-CA"/>
        </w:rPr>
        <w:lastRenderedPageBreak/>
        <w:t>Figure 6.1. Ratio entre les patients adultes inscrits à des essais cliniques et le nombre de nouveaux cas selon la province, tous les cancers – inscription en 2013</w:t>
      </w:r>
      <w:bookmarkEnd w:id="39"/>
    </w:p>
    <w:p w14:paraId="2B06E5FE" w14:textId="77777777" w:rsidR="006B5D30" w:rsidRDefault="006B5D30" w:rsidP="006B5D30">
      <w:pPr>
        <w:jc w:val="center"/>
      </w:pPr>
      <w:r>
        <w:rPr>
          <w:noProof/>
          <w:lang w:val="en-US"/>
        </w:rPr>
        <w:drawing>
          <wp:inline distT="0" distB="0" distL="0" distR="0" wp14:anchorId="0E749F51" wp14:editId="2B10AF2F">
            <wp:extent cx="5565648" cy="560222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ystemsPerformanceReport2015_FR_Fig6.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565648" cy="5602224"/>
                    </a:xfrm>
                    <a:prstGeom prst="rect">
                      <a:avLst/>
                    </a:prstGeom>
                  </pic:spPr>
                </pic:pic>
              </a:graphicData>
            </a:graphic>
          </wp:inline>
        </w:drawing>
      </w:r>
    </w:p>
    <w:p w14:paraId="42B202C3" w14:textId="77777777" w:rsidR="006B5D30" w:rsidRDefault="006B5D30" w:rsidP="006B5D30">
      <w:pPr>
        <w:jc w:val="center"/>
      </w:pPr>
      <w:r>
        <w:br w:type="page"/>
      </w:r>
    </w:p>
    <w:p w14:paraId="4220C33D" w14:textId="77777777" w:rsidR="006B5D30" w:rsidRPr="00BF3E6A" w:rsidRDefault="006B5D30" w:rsidP="006B5D30">
      <w:pPr>
        <w:pStyle w:val="Heading1"/>
        <w:rPr>
          <w:rFonts w:eastAsia="Times New Roman"/>
          <w:lang w:val="fr-CA" w:eastAsia="en-CA"/>
        </w:rPr>
      </w:pPr>
      <w:bookmarkStart w:id="40" w:name="_Toc437589679"/>
      <w:r w:rsidRPr="00BF3E6A">
        <w:rPr>
          <w:lang w:val="fr-CA"/>
        </w:rPr>
        <w:lastRenderedPageBreak/>
        <w:t xml:space="preserve">Figure 6.2 </w:t>
      </w:r>
      <w:r w:rsidRPr="00BF3E6A">
        <w:rPr>
          <w:rFonts w:eastAsia="Times New Roman"/>
          <w:lang w:val="fr-CA" w:eastAsia="en-CA"/>
        </w:rPr>
        <w:t>Ratio entre les patients adultes inscrits à des essais cliniques et le nombre de nouveaux cas selon le siège de la maladie, les quatre types de cancer les plus fréquents et tous les cancers – inscription en 2013</w:t>
      </w:r>
      <w:bookmarkEnd w:id="40"/>
    </w:p>
    <w:p w14:paraId="7DEED12D" w14:textId="77777777" w:rsidR="006B5D30" w:rsidRDefault="006B5D30" w:rsidP="006B5D30">
      <w:pPr>
        <w:jc w:val="center"/>
      </w:pPr>
      <w:r>
        <w:rPr>
          <w:noProof/>
          <w:lang w:val="en-US"/>
        </w:rPr>
        <w:drawing>
          <wp:inline distT="0" distB="0" distL="0" distR="0" wp14:anchorId="3A1D5FDD" wp14:editId="13F36732">
            <wp:extent cx="3380232" cy="6605016"/>
            <wp:effectExtent l="0" t="0" r="0" b="57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ystemsPerformanceReport2015_FR_Fig6.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80232" cy="6605016"/>
                    </a:xfrm>
                    <a:prstGeom prst="rect">
                      <a:avLst/>
                    </a:prstGeom>
                  </pic:spPr>
                </pic:pic>
              </a:graphicData>
            </a:graphic>
          </wp:inline>
        </w:drawing>
      </w:r>
    </w:p>
    <w:p w14:paraId="4DDB9944" w14:textId="77777777" w:rsidR="006B5D30" w:rsidRDefault="006B5D30" w:rsidP="006B5D30">
      <w:pPr>
        <w:jc w:val="center"/>
        <w:sectPr w:rsidR="006B5D30" w:rsidSect="00B33340">
          <w:pgSz w:w="12240" w:h="15840"/>
          <w:pgMar w:top="1440" w:right="1440" w:bottom="1440" w:left="1440" w:header="708" w:footer="708" w:gutter="0"/>
          <w:cols w:space="708"/>
          <w:docGrid w:linePitch="360"/>
        </w:sectPr>
      </w:pPr>
      <w:r>
        <w:br w:type="page"/>
      </w:r>
    </w:p>
    <w:p w14:paraId="7C93B186" w14:textId="77777777" w:rsidR="006B5D30" w:rsidRDefault="006B5D30" w:rsidP="006B5D30"/>
    <w:p w14:paraId="490E4A21" w14:textId="77777777" w:rsidR="006B5D30" w:rsidRPr="00BF3E6A" w:rsidRDefault="006B5D30" w:rsidP="006B5D30">
      <w:pPr>
        <w:pStyle w:val="Heading1"/>
        <w:rPr>
          <w:rFonts w:eastAsia="Times New Roman"/>
          <w:lang w:val="fr-CA" w:eastAsia="en-CA"/>
        </w:rPr>
      </w:pPr>
      <w:bookmarkStart w:id="41" w:name="_Toc437589680"/>
      <w:r w:rsidRPr="00BF3E6A">
        <w:rPr>
          <w:lang w:val="fr-CA"/>
        </w:rPr>
        <w:t xml:space="preserve">Figure 7.1 </w:t>
      </w:r>
      <w:r w:rsidRPr="00BF3E6A">
        <w:rPr>
          <w:rFonts w:eastAsia="Times New Roman"/>
          <w:lang w:val="fr-CA" w:eastAsia="en-CA"/>
        </w:rPr>
        <w:t xml:space="preserve">Pourcentage de toutes les mammographies de </w:t>
      </w:r>
      <w:proofErr w:type="spellStart"/>
      <w:r w:rsidRPr="00BF3E6A">
        <w:rPr>
          <w:rFonts w:eastAsia="Times New Roman"/>
          <w:lang w:val="fr-CA" w:eastAsia="en-CA"/>
        </w:rPr>
        <w:t>dépistageƚ</w:t>
      </w:r>
      <w:proofErr w:type="spellEnd"/>
      <w:r w:rsidRPr="00BF3E6A">
        <w:rPr>
          <w:rFonts w:eastAsia="Times New Roman"/>
          <w:lang w:val="fr-CA" w:eastAsia="en-CA"/>
        </w:rPr>
        <w:t xml:space="preserve"> autodéclarées effectuées à l’intérieur et à l’extérieur du groupe d’âge recommandé par les lignes directrices (50 à 74 ans), selon la province ou le territoire – déclaration faite en 2012</w:t>
      </w:r>
      <w:bookmarkEnd w:id="41"/>
      <w:r w:rsidRPr="00BF3E6A">
        <w:rPr>
          <w:rFonts w:eastAsia="Times New Roman"/>
          <w:lang w:val="fr-CA" w:eastAsia="en-CA"/>
        </w:rPr>
        <w:t xml:space="preserve">  </w:t>
      </w:r>
    </w:p>
    <w:p w14:paraId="443EB5EB" w14:textId="77777777" w:rsidR="006B5D30" w:rsidRDefault="006B5D30" w:rsidP="006B5D30">
      <w:pPr>
        <w:jc w:val="center"/>
      </w:pPr>
      <w:r>
        <w:rPr>
          <w:noProof/>
          <w:lang w:val="en-US"/>
        </w:rPr>
        <w:drawing>
          <wp:inline distT="0" distB="0" distL="0" distR="0" wp14:anchorId="7BCAAEB2" wp14:editId="299CD216">
            <wp:extent cx="5565648" cy="537362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ystemsPerformanceReport2015_FR_Fig7.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565648" cy="5373624"/>
                    </a:xfrm>
                    <a:prstGeom prst="rect">
                      <a:avLst/>
                    </a:prstGeom>
                  </pic:spPr>
                </pic:pic>
              </a:graphicData>
            </a:graphic>
          </wp:inline>
        </w:drawing>
      </w:r>
    </w:p>
    <w:p w14:paraId="34D5E1B9" w14:textId="77777777" w:rsidR="006B5D30" w:rsidRDefault="006B5D30" w:rsidP="006B5D30">
      <w:pPr>
        <w:jc w:val="center"/>
        <w:sectPr w:rsidR="006B5D30" w:rsidSect="00B33340">
          <w:pgSz w:w="12240" w:h="15840"/>
          <w:pgMar w:top="1440" w:right="1440" w:bottom="1440" w:left="1440" w:header="708" w:footer="708" w:gutter="0"/>
          <w:cols w:space="708"/>
          <w:docGrid w:linePitch="360"/>
        </w:sectPr>
      </w:pPr>
      <w:r>
        <w:br w:type="page"/>
      </w:r>
    </w:p>
    <w:p w14:paraId="0C413886" w14:textId="77777777" w:rsidR="006B5D30" w:rsidRDefault="006B5D30" w:rsidP="006B5D30">
      <w:pPr>
        <w:jc w:val="center"/>
      </w:pPr>
    </w:p>
    <w:p w14:paraId="3D2216A4" w14:textId="77777777" w:rsidR="006B5D30" w:rsidRPr="00704040" w:rsidRDefault="006B5D30" w:rsidP="006B5D30">
      <w:pPr>
        <w:pStyle w:val="Heading1"/>
        <w:rPr>
          <w:rFonts w:eastAsia="Times New Roman"/>
          <w:lang w:val="fr-CA" w:eastAsia="en-CA"/>
        </w:rPr>
      </w:pPr>
      <w:bookmarkStart w:id="42" w:name="_Toc437589681"/>
      <w:r w:rsidRPr="00704040">
        <w:rPr>
          <w:lang w:val="fr-CA"/>
        </w:rPr>
        <w:t xml:space="preserve">Figure 7.2 </w:t>
      </w:r>
      <w:r w:rsidRPr="00704040">
        <w:rPr>
          <w:rFonts w:eastAsia="Times New Roman"/>
          <w:lang w:val="fr-CA" w:eastAsia="en-CA"/>
        </w:rPr>
        <w:t xml:space="preserve">Pourcentage des mastectomies dues au cancer du sein effectuées en chirurgie </w:t>
      </w:r>
      <w:proofErr w:type="spellStart"/>
      <w:r w:rsidRPr="00704040">
        <w:rPr>
          <w:rFonts w:eastAsia="Times New Roman"/>
          <w:lang w:val="fr-CA" w:eastAsia="en-CA"/>
        </w:rPr>
        <w:t>ambulatoireselon</w:t>
      </w:r>
      <w:proofErr w:type="spellEnd"/>
      <w:r w:rsidRPr="00704040">
        <w:rPr>
          <w:rFonts w:eastAsia="Times New Roman"/>
          <w:lang w:val="fr-CA" w:eastAsia="en-CA"/>
        </w:rPr>
        <w:t xml:space="preserve"> la province ou le territoire – exercices 2007-2008 à 2011-2012 combinés</w:t>
      </w:r>
      <w:bookmarkEnd w:id="42"/>
    </w:p>
    <w:p w14:paraId="5FCB60A0" w14:textId="77777777" w:rsidR="006B5D30" w:rsidRDefault="006B5D30" w:rsidP="006B5D30">
      <w:pPr>
        <w:jc w:val="center"/>
      </w:pPr>
      <w:r>
        <w:rPr>
          <w:noProof/>
          <w:lang w:val="en-US"/>
        </w:rPr>
        <w:drawing>
          <wp:inline distT="0" distB="0" distL="0" distR="0" wp14:anchorId="00344D5E" wp14:editId="7188CB8A">
            <wp:extent cx="6644640" cy="4343400"/>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ystemsPerformanceReport2015_FR_Fig7.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644640" cy="4343400"/>
                    </a:xfrm>
                    <a:prstGeom prst="rect">
                      <a:avLst/>
                    </a:prstGeom>
                  </pic:spPr>
                </pic:pic>
              </a:graphicData>
            </a:graphic>
          </wp:inline>
        </w:drawing>
      </w:r>
    </w:p>
    <w:p w14:paraId="1846CC2B" w14:textId="77777777" w:rsidR="006B5D30" w:rsidRDefault="006B5D30" w:rsidP="006B5D30">
      <w:pPr>
        <w:jc w:val="center"/>
      </w:pPr>
      <w:r>
        <w:br w:type="page"/>
      </w:r>
    </w:p>
    <w:p w14:paraId="6F1352A1" w14:textId="77777777" w:rsidR="006B5D30" w:rsidRPr="00113C3A" w:rsidRDefault="006B5D30" w:rsidP="006B5D30">
      <w:pPr>
        <w:pStyle w:val="Heading1"/>
        <w:rPr>
          <w:rFonts w:eastAsia="Times New Roman"/>
          <w:lang w:val="fr-CA" w:eastAsia="en-CA"/>
        </w:rPr>
      </w:pPr>
      <w:bookmarkStart w:id="43" w:name="_Toc437589682"/>
      <w:r w:rsidRPr="00113C3A">
        <w:rPr>
          <w:lang w:val="fr-CA"/>
        </w:rPr>
        <w:lastRenderedPageBreak/>
        <w:t xml:space="preserve">Figure 8.1 </w:t>
      </w:r>
      <w:r w:rsidRPr="00113C3A">
        <w:rPr>
          <w:rFonts w:eastAsia="Times New Roman"/>
          <w:lang w:val="fr-CA" w:eastAsia="en-CA"/>
        </w:rPr>
        <w:t>Taux d’incidence et de mortalité normalisés selon l’âge (population de 2011) des cas de cancer du sein chez les femmes, Canada – de 1992 à 2011</w:t>
      </w:r>
      <w:bookmarkEnd w:id="43"/>
    </w:p>
    <w:p w14:paraId="5355CF7E" w14:textId="77777777" w:rsidR="006B5D30" w:rsidRDefault="006B5D30" w:rsidP="006B5D30">
      <w:pPr>
        <w:jc w:val="center"/>
      </w:pPr>
      <w:r>
        <w:rPr>
          <w:noProof/>
          <w:lang w:val="en-US"/>
        </w:rPr>
        <w:drawing>
          <wp:inline distT="0" distB="0" distL="0" distR="0" wp14:anchorId="27F55669" wp14:editId="0A00C3F4">
            <wp:extent cx="6644640" cy="4559808"/>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ystemsPerformanceReport2015_FR_Fig8.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644640" cy="4559808"/>
                    </a:xfrm>
                    <a:prstGeom prst="rect">
                      <a:avLst/>
                    </a:prstGeom>
                  </pic:spPr>
                </pic:pic>
              </a:graphicData>
            </a:graphic>
          </wp:inline>
        </w:drawing>
      </w:r>
    </w:p>
    <w:p w14:paraId="1E05E8EC" w14:textId="77777777" w:rsidR="006B5D30" w:rsidRDefault="006B5D30" w:rsidP="006B5D30">
      <w:pPr>
        <w:jc w:val="center"/>
      </w:pPr>
      <w:r>
        <w:br w:type="page"/>
      </w:r>
    </w:p>
    <w:p w14:paraId="63C55889" w14:textId="77777777" w:rsidR="006B5D30" w:rsidRPr="00113C3A" w:rsidRDefault="006B5D30" w:rsidP="006B5D30">
      <w:pPr>
        <w:pStyle w:val="Heading1"/>
        <w:rPr>
          <w:rFonts w:eastAsia="Times New Roman"/>
          <w:lang w:val="fr-CA" w:eastAsia="en-CA"/>
        </w:rPr>
      </w:pPr>
      <w:bookmarkStart w:id="44" w:name="_Toc437589683"/>
      <w:r w:rsidRPr="00113C3A">
        <w:rPr>
          <w:lang w:val="fr-CA"/>
        </w:rPr>
        <w:lastRenderedPageBreak/>
        <w:t xml:space="preserve">Figure 8.2 </w:t>
      </w:r>
      <w:r w:rsidRPr="00113C3A">
        <w:rPr>
          <w:rFonts w:eastAsia="Times New Roman"/>
          <w:lang w:val="fr-CA" w:eastAsia="en-CA"/>
        </w:rPr>
        <w:t>Taux d’incidence normalisés selon l’âge (population de 2011) des cas de cancer du sein chez les femmes, selon la province –de 2008 à 2010 combinés</w:t>
      </w:r>
      <w:bookmarkEnd w:id="44"/>
    </w:p>
    <w:p w14:paraId="24E25F74" w14:textId="77777777" w:rsidR="006B5D30" w:rsidRDefault="006B5D30" w:rsidP="006B5D30">
      <w:pPr>
        <w:jc w:val="center"/>
      </w:pPr>
      <w:r>
        <w:rPr>
          <w:noProof/>
          <w:lang w:val="en-US"/>
        </w:rPr>
        <w:drawing>
          <wp:inline distT="0" distB="0" distL="0" distR="0" wp14:anchorId="5A6A17E5" wp14:editId="33238522">
            <wp:extent cx="6644640" cy="4267200"/>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ystemsPerformanceReport2015_FR_Fig8.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644640" cy="4267200"/>
                    </a:xfrm>
                    <a:prstGeom prst="rect">
                      <a:avLst/>
                    </a:prstGeom>
                  </pic:spPr>
                </pic:pic>
              </a:graphicData>
            </a:graphic>
          </wp:inline>
        </w:drawing>
      </w:r>
    </w:p>
    <w:p w14:paraId="1B74BD42" w14:textId="77777777" w:rsidR="006B5D30" w:rsidRDefault="006B5D30" w:rsidP="006B5D30">
      <w:pPr>
        <w:jc w:val="center"/>
      </w:pPr>
      <w:r>
        <w:br w:type="page"/>
      </w:r>
    </w:p>
    <w:p w14:paraId="688D57D4" w14:textId="77777777" w:rsidR="006B5D30" w:rsidRPr="00113C3A" w:rsidRDefault="006B5D30" w:rsidP="006B5D30">
      <w:pPr>
        <w:pStyle w:val="Heading1"/>
        <w:rPr>
          <w:rFonts w:eastAsia="Times New Roman"/>
          <w:lang w:val="fr-CA" w:eastAsia="en-CA"/>
        </w:rPr>
      </w:pPr>
      <w:bookmarkStart w:id="45" w:name="_Toc437589684"/>
      <w:r w:rsidRPr="00113C3A">
        <w:rPr>
          <w:lang w:val="fr-CA"/>
        </w:rPr>
        <w:lastRenderedPageBreak/>
        <w:t xml:space="preserve">Figure 8.3 </w:t>
      </w:r>
      <w:r w:rsidRPr="00113C3A">
        <w:rPr>
          <w:rFonts w:eastAsia="Times New Roman"/>
          <w:lang w:val="fr-CA" w:eastAsia="en-CA"/>
        </w:rPr>
        <w:t>Taux d’incidence normalisés selon l’âge (population de 2011) des cas de cancer du sein chez les femmes, selon le stade au diagnostic et la province – diagnostic fait entre 2010 à 2012 combinés</w:t>
      </w:r>
      <w:bookmarkEnd w:id="45"/>
    </w:p>
    <w:p w14:paraId="116F4B77" w14:textId="77777777" w:rsidR="006B5D30" w:rsidRDefault="006B5D30" w:rsidP="006B5D30">
      <w:pPr>
        <w:jc w:val="center"/>
      </w:pPr>
      <w:r>
        <w:rPr>
          <w:noProof/>
          <w:lang w:val="en-US"/>
        </w:rPr>
        <w:drawing>
          <wp:inline distT="0" distB="0" distL="0" distR="0" wp14:anchorId="74B73421" wp14:editId="3357BA78">
            <wp:extent cx="6644640" cy="4648200"/>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ystemsPerformanceReport2015_FR_Fig8.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644640" cy="4648200"/>
                    </a:xfrm>
                    <a:prstGeom prst="rect">
                      <a:avLst/>
                    </a:prstGeom>
                  </pic:spPr>
                </pic:pic>
              </a:graphicData>
            </a:graphic>
          </wp:inline>
        </w:drawing>
      </w:r>
    </w:p>
    <w:p w14:paraId="75AED9D6" w14:textId="77777777" w:rsidR="006B5D30" w:rsidRDefault="006B5D30" w:rsidP="006B5D30">
      <w:pPr>
        <w:jc w:val="center"/>
      </w:pPr>
      <w:r>
        <w:br w:type="page"/>
      </w:r>
    </w:p>
    <w:p w14:paraId="4FE7DD21" w14:textId="77777777" w:rsidR="006B5D30" w:rsidRPr="00113C3A" w:rsidRDefault="006B5D30" w:rsidP="006B5D30">
      <w:pPr>
        <w:pStyle w:val="Heading1"/>
        <w:rPr>
          <w:rFonts w:eastAsia="Times New Roman"/>
          <w:lang w:val="fr-CA" w:eastAsia="en-CA"/>
        </w:rPr>
      </w:pPr>
      <w:bookmarkStart w:id="46" w:name="_Toc437589685"/>
      <w:r w:rsidRPr="00113C3A">
        <w:rPr>
          <w:lang w:val="fr-CA"/>
        </w:rPr>
        <w:lastRenderedPageBreak/>
        <w:t xml:space="preserve">Figure 8.4 </w:t>
      </w:r>
      <w:r w:rsidRPr="00113C3A">
        <w:rPr>
          <w:rFonts w:eastAsia="Times New Roman"/>
          <w:lang w:val="fr-CA" w:eastAsia="en-CA"/>
        </w:rPr>
        <w:t xml:space="preserve">Taux de mortalité normalisés selon l’âge (population de 2011) des cas de cancer du sein chez les femmes, selon la province – de 2009 à 2011 </w:t>
      </w:r>
      <w:proofErr w:type="spellStart"/>
      <w:r w:rsidRPr="00113C3A">
        <w:rPr>
          <w:rFonts w:eastAsia="Times New Roman"/>
          <w:lang w:val="fr-CA" w:eastAsia="en-CA"/>
        </w:rPr>
        <w:t>combinésto</w:t>
      </w:r>
      <w:proofErr w:type="spellEnd"/>
      <w:r w:rsidRPr="00113C3A">
        <w:rPr>
          <w:rFonts w:eastAsia="Times New Roman"/>
          <w:lang w:val="fr-CA" w:eastAsia="en-CA"/>
        </w:rPr>
        <w:t xml:space="preserve"> the 2011 population - 2009-2011 </w:t>
      </w:r>
      <w:proofErr w:type="spellStart"/>
      <w:r w:rsidRPr="00113C3A">
        <w:rPr>
          <w:rFonts w:eastAsia="Times New Roman"/>
          <w:lang w:val="fr-CA" w:eastAsia="en-CA"/>
        </w:rPr>
        <w:t>combined</w:t>
      </w:r>
      <w:bookmarkEnd w:id="46"/>
      <w:proofErr w:type="spellEnd"/>
    </w:p>
    <w:p w14:paraId="0D1B1488" w14:textId="77777777" w:rsidR="006B5D30" w:rsidRDefault="006B5D30" w:rsidP="006B5D30">
      <w:pPr>
        <w:jc w:val="center"/>
      </w:pPr>
      <w:r>
        <w:rPr>
          <w:noProof/>
          <w:lang w:val="en-US"/>
        </w:rPr>
        <w:drawing>
          <wp:inline distT="0" distB="0" distL="0" distR="0" wp14:anchorId="47995766" wp14:editId="60BABAAC">
            <wp:extent cx="6644640" cy="4078224"/>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ystemsPerformanceReport2015_FR_Fig8.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644640" cy="4078224"/>
                    </a:xfrm>
                    <a:prstGeom prst="rect">
                      <a:avLst/>
                    </a:prstGeom>
                  </pic:spPr>
                </pic:pic>
              </a:graphicData>
            </a:graphic>
          </wp:inline>
        </w:drawing>
      </w:r>
    </w:p>
    <w:p w14:paraId="62EF5B34" w14:textId="77777777" w:rsidR="006B5D30" w:rsidRDefault="006B5D30" w:rsidP="006B5D30">
      <w:pPr>
        <w:jc w:val="center"/>
      </w:pPr>
      <w:r>
        <w:br w:type="page"/>
      </w:r>
    </w:p>
    <w:p w14:paraId="138AC3C4" w14:textId="77777777" w:rsidR="006B5D30" w:rsidRPr="00113C3A" w:rsidRDefault="006B5D30" w:rsidP="006B5D30">
      <w:pPr>
        <w:pStyle w:val="Heading1"/>
        <w:rPr>
          <w:rFonts w:eastAsia="Times New Roman"/>
          <w:lang w:val="fr-CA" w:eastAsia="en-CA"/>
        </w:rPr>
      </w:pPr>
      <w:bookmarkStart w:id="47" w:name="_Toc437589686"/>
      <w:r w:rsidRPr="00113C3A">
        <w:rPr>
          <w:lang w:val="fr-CA"/>
        </w:rPr>
        <w:lastRenderedPageBreak/>
        <w:t xml:space="preserve">Figure 8.5 </w:t>
      </w:r>
      <w:r w:rsidRPr="00113C3A">
        <w:rPr>
          <w:rFonts w:eastAsia="Times New Roman"/>
          <w:lang w:val="fr-CA" w:eastAsia="en-CA"/>
        </w:rPr>
        <w:t xml:space="preserve">Ratio de survie relative à cinq ans normalisé selon l’âge† des cas de cancer du </w:t>
      </w:r>
      <w:proofErr w:type="spellStart"/>
      <w:proofErr w:type="gramStart"/>
      <w:r w:rsidRPr="00113C3A">
        <w:rPr>
          <w:rFonts w:eastAsia="Times New Roman"/>
          <w:lang w:val="fr-CA" w:eastAsia="en-CA"/>
        </w:rPr>
        <w:t>sein,les</w:t>
      </w:r>
      <w:proofErr w:type="spellEnd"/>
      <w:proofErr w:type="gramEnd"/>
      <w:r w:rsidRPr="00113C3A">
        <w:rPr>
          <w:rFonts w:eastAsia="Times New Roman"/>
          <w:lang w:val="fr-CA" w:eastAsia="en-CA"/>
        </w:rPr>
        <w:t xml:space="preserve"> deux sexes combinés selon la province – de 2006 à 2008 combinés</w:t>
      </w:r>
      <w:bookmarkEnd w:id="47"/>
    </w:p>
    <w:p w14:paraId="4D8502EE" w14:textId="77777777" w:rsidR="006B5D30" w:rsidRDefault="006B5D30" w:rsidP="006B5D30">
      <w:pPr>
        <w:jc w:val="center"/>
      </w:pPr>
      <w:r>
        <w:rPr>
          <w:noProof/>
          <w:lang w:val="en-US"/>
        </w:rPr>
        <w:drawing>
          <wp:inline distT="0" distB="0" distL="0" distR="0" wp14:anchorId="7698316C" wp14:editId="47ACED60">
            <wp:extent cx="6644640" cy="4078224"/>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ystemsPerformanceReport2015_FR_Fig8.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644640" cy="4078224"/>
                    </a:xfrm>
                    <a:prstGeom prst="rect">
                      <a:avLst/>
                    </a:prstGeom>
                  </pic:spPr>
                </pic:pic>
              </a:graphicData>
            </a:graphic>
          </wp:inline>
        </w:drawing>
      </w:r>
    </w:p>
    <w:p w14:paraId="02CE3E4E" w14:textId="77777777" w:rsidR="006B5D30" w:rsidRDefault="006B5D30" w:rsidP="006B5D30">
      <w:pPr>
        <w:jc w:val="center"/>
      </w:pPr>
      <w:r>
        <w:br w:type="page"/>
      </w:r>
    </w:p>
    <w:p w14:paraId="3D38E1A5" w14:textId="77777777" w:rsidR="006B5D30" w:rsidRPr="00113C3A" w:rsidRDefault="006B5D30" w:rsidP="006B5D30">
      <w:pPr>
        <w:pStyle w:val="Heading1"/>
        <w:rPr>
          <w:rFonts w:eastAsia="Times New Roman"/>
          <w:lang w:val="fr-CA" w:eastAsia="en-CA"/>
        </w:rPr>
      </w:pPr>
      <w:bookmarkStart w:id="48" w:name="_Toc437589687"/>
      <w:r w:rsidRPr="00113C3A">
        <w:rPr>
          <w:lang w:val="fr-CA"/>
        </w:rPr>
        <w:lastRenderedPageBreak/>
        <w:t xml:space="preserve">Figure 8.6 </w:t>
      </w:r>
      <w:r w:rsidRPr="00113C3A">
        <w:rPr>
          <w:rFonts w:eastAsia="Times New Roman"/>
          <w:lang w:val="fr-CA" w:eastAsia="en-CA"/>
        </w:rPr>
        <w:t>Ratio de survie relative à cinq ans normalisé selon l’âge</w:t>
      </w:r>
      <w:r w:rsidRPr="00113C3A">
        <w:rPr>
          <w:rFonts w:eastAsia="Times New Roman"/>
          <w:vertAlign w:val="superscript"/>
          <w:lang w:val="fr-CA" w:eastAsia="en-CA"/>
        </w:rPr>
        <w:t xml:space="preserve">†† </w:t>
      </w:r>
      <w:r w:rsidRPr="00113C3A">
        <w:rPr>
          <w:rFonts w:eastAsia="Times New Roman"/>
          <w:lang w:val="fr-CA" w:eastAsia="en-CA"/>
        </w:rPr>
        <w:t>des cas de cancer du sein, les deux sexes combinés, Canada</w:t>
      </w:r>
      <w:r w:rsidRPr="00113C3A">
        <w:rPr>
          <w:rFonts w:eastAsia="Times New Roman"/>
          <w:vertAlign w:val="superscript"/>
          <w:lang w:val="fr-CA" w:eastAsia="en-CA"/>
        </w:rPr>
        <w:t>†</w:t>
      </w:r>
      <w:r w:rsidRPr="00113C3A">
        <w:rPr>
          <w:rFonts w:eastAsia="Times New Roman"/>
          <w:lang w:val="fr-CA" w:eastAsia="en-CA"/>
        </w:rPr>
        <w:t xml:space="preserve"> – de 1992 à 1994 combinés et de 2006 à 2008 combinés</w:t>
      </w:r>
      <w:bookmarkEnd w:id="48"/>
    </w:p>
    <w:p w14:paraId="4A355055" w14:textId="77777777" w:rsidR="006B5D30" w:rsidRDefault="006B5D30" w:rsidP="006B5D30">
      <w:pPr>
        <w:jc w:val="center"/>
      </w:pPr>
      <w:r>
        <w:rPr>
          <w:noProof/>
          <w:lang w:val="en-US"/>
        </w:rPr>
        <w:drawing>
          <wp:inline distT="0" distB="0" distL="0" distR="0" wp14:anchorId="501B6081" wp14:editId="45520C88">
            <wp:extent cx="4547616" cy="4739640"/>
            <wp:effectExtent l="0" t="0" r="5715"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ystemsPerformanceReport2015_FR_Fig8.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547616" cy="4739640"/>
                    </a:xfrm>
                    <a:prstGeom prst="rect">
                      <a:avLst/>
                    </a:prstGeom>
                  </pic:spPr>
                </pic:pic>
              </a:graphicData>
            </a:graphic>
          </wp:inline>
        </w:drawing>
      </w:r>
    </w:p>
    <w:p w14:paraId="7A57B21B" w14:textId="77777777" w:rsidR="006B5D30" w:rsidRDefault="006B5D30" w:rsidP="006B5D30">
      <w:pPr>
        <w:jc w:val="center"/>
      </w:pPr>
      <w:r>
        <w:br w:type="page"/>
      </w:r>
    </w:p>
    <w:p w14:paraId="11589EDC" w14:textId="77777777" w:rsidR="006B5D30" w:rsidRPr="00113C3A" w:rsidRDefault="006B5D30" w:rsidP="006B5D30">
      <w:pPr>
        <w:pStyle w:val="Heading1"/>
        <w:rPr>
          <w:rFonts w:eastAsia="Times New Roman"/>
          <w:lang w:val="fr-CA" w:eastAsia="en-CA"/>
        </w:rPr>
      </w:pPr>
      <w:bookmarkStart w:id="49" w:name="_Toc437589688"/>
      <w:r w:rsidRPr="00113C3A">
        <w:rPr>
          <w:lang w:val="fr-CA"/>
        </w:rPr>
        <w:lastRenderedPageBreak/>
        <w:t xml:space="preserve">Figure 8.7 </w:t>
      </w:r>
      <w:r w:rsidRPr="00113C3A">
        <w:rPr>
          <w:rFonts w:eastAsia="Times New Roman"/>
          <w:lang w:val="fr-CA" w:eastAsia="en-CA"/>
        </w:rPr>
        <w:t>Taux d’incidence et de mortalité normalisés selon l’âge (population de 2011) des cas de cancer du poumon selon le sexe, Canada – de 1992 à 2011</w:t>
      </w:r>
      <w:bookmarkEnd w:id="49"/>
    </w:p>
    <w:p w14:paraId="0FD32AE0" w14:textId="77777777" w:rsidR="006B5D30" w:rsidRDefault="006B5D30" w:rsidP="006B5D30">
      <w:pPr>
        <w:jc w:val="center"/>
      </w:pPr>
      <w:r>
        <w:rPr>
          <w:noProof/>
          <w:lang w:val="en-US"/>
        </w:rPr>
        <w:drawing>
          <wp:inline distT="0" distB="0" distL="0" distR="0" wp14:anchorId="77B784CF" wp14:editId="566EFD5F">
            <wp:extent cx="6644640" cy="4511040"/>
            <wp:effectExtent l="0" t="0" r="381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ystemsPerformanceReport2015_FR_Fig8.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644640" cy="4511040"/>
                    </a:xfrm>
                    <a:prstGeom prst="rect">
                      <a:avLst/>
                    </a:prstGeom>
                  </pic:spPr>
                </pic:pic>
              </a:graphicData>
            </a:graphic>
          </wp:inline>
        </w:drawing>
      </w:r>
    </w:p>
    <w:p w14:paraId="33209BC2" w14:textId="77777777" w:rsidR="006B5D30" w:rsidRDefault="006B5D30" w:rsidP="006B5D30">
      <w:pPr>
        <w:jc w:val="center"/>
      </w:pPr>
      <w:r>
        <w:br w:type="page"/>
      </w:r>
    </w:p>
    <w:p w14:paraId="050426CA" w14:textId="77777777" w:rsidR="006B5D30" w:rsidRPr="00113C3A" w:rsidRDefault="006B5D30" w:rsidP="006B5D30">
      <w:pPr>
        <w:pStyle w:val="Heading1"/>
        <w:rPr>
          <w:rFonts w:eastAsia="Times New Roman"/>
          <w:lang w:val="fr-CA" w:eastAsia="en-CA"/>
        </w:rPr>
      </w:pPr>
      <w:bookmarkStart w:id="50" w:name="_Toc437589689"/>
      <w:r w:rsidRPr="00113C3A">
        <w:rPr>
          <w:lang w:val="fr-CA"/>
        </w:rPr>
        <w:lastRenderedPageBreak/>
        <w:t xml:space="preserve">Figure 8.8 </w:t>
      </w:r>
      <w:r w:rsidRPr="00113C3A">
        <w:rPr>
          <w:rFonts w:eastAsia="Times New Roman"/>
          <w:lang w:val="fr-CA" w:eastAsia="en-CA"/>
        </w:rPr>
        <w:t>Taux d’incidence normalisé selon l’âge (population de 2011) des cas de cancer</w:t>
      </w:r>
      <w:r w:rsidRPr="00113C3A">
        <w:rPr>
          <w:rFonts w:eastAsia="Times New Roman"/>
          <w:lang w:val="fr-CA" w:eastAsia="en-CA"/>
        </w:rPr>
        <w:br/>
        <w:t>du poumon selon le sexe et la province – de 2008 à 2010 combinés</w:t>
      </w:r>
      <w:bookmarkEnd w:id="50"/>
    </w:p>
    <w:p w14:paraId="0B50C789" w14:textId="77777777" w:rsidR="006B5D30" w:rsidRDefault="006B5D30" w:rsidP="006B5D30">
      <w:pPr>
        <w:jc w:val="center"/>
      </w:pPr>
      <w:r>
        <w:rPr>
          <w:noProof/>
          <w:lang w:val="en-US"/>
        </w:rPr>
        <w:drawing>
          <wp:inline distT="0" distB="0" distL="0" distR="0" wp14:anchorId="7AFB0F3B" wp14:editId="0C8455F4">
            <wp:extent cx="6644640" cy="4358640"/>
            <wp:effectExtent l="0" t="0" r="381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ystemsPerformanceReport2015_FR_Fig8.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644640" cy="4358640"/>
                    </a:xfrm>
                    <a:prstGeom prst="rect">
                      <a:avLst/>
                    </a:prstGeom>
                  </pic:spPr>
                </pic:pic>
              </a:graphicData>
            </a:graphic>
          </wp:inline>
        </w:drawing>
      </w:r>
    </w:p>
    <w:p w14:paraId="3503966E" w14:textId="77777777" w:rsidR="006B5D30" w:rsidRDefault="006B5D30" w:rsidP="006B5D30">
      <w:pPr>
        <w:jc w:val="center"/>
      </w:pPr>
      <w:r>
        <w:br w:type="page"/>
      </w:r>
    </w:p>
    <w:p w14:paraId="65AED49F" w14:textId="77777777" w:rsidR="006B5D30" w:rsidRPr="00113C3A" w:rsidRDefault="006B5D30" w:rsidP="006B5D30">
      <w:pPr>
        <w:pStyle w:val="Heading1"/>
        <w:rPr>
          <w:rFonts w:eastAsia="Times New Roman"/>
          <w:lang w:val="fr-CA" w:eastAsia="en-CA"/>
        </w:rPr>
      </w:pPr>
      <w:bookmarkStart w:id="51" w:name="_Toc437589690"/>
      <w:r w:rsidRPr="00113C3A">
        <w:rPr>
          <w:lang w:val="fr-CA"/>
        </w:rPr>
        <w:lastRenderedPageBreak/>
        <w:t xml:space="preserve">Figure 8.9 </w:t>
      </w:r>
      <w:r w:rsidRPr="00113C3A">
        <w:rPr>
          <w:rFonts w:eastAsia="Times New Roman"/>
          <w:lang w:val="fr-CA" w:eastAsia="en-CA"/>
        </w:rPr>
        <w:t>Taux d’incidence normalisé selon l’âge (population de 2011) des cas de cancer du poumon selon le stade au diagnostic et la province – diagnostic fait entre 2010</w:t>
      </w:r>
      <w:r w:rsidRPr="00113C3A">
        <w:rPr>
          <w:rFonts w:eastAsia="Times New Roman"/>
          <w:sz w:val="23"/>
          <w:szCs w:val="23"/>
          <w:lang w:val="fr-CA" w:eastAsia="en-CA"/>
        </w:rPr>
        <w:t xml:space="preserve"> et 2012 combinés</w:t>
      </w:r>
      <w:bookmarkEnd w:id="51"/>
    </w:p>
    <w:p w14:paraId="7F1FCFB8" w14:textId="77777777" w:rsidR="006B5D30" w:rsidRDefault="006B5D30" w:rsidP="006B5D30">
      <w:pPr>
        <w:jc w:val="center"/>
      </w:pPr>
      <w:r>
        <w:rPr>
          <w:noProof/>
          <w:lang w:val="en-US"/>
        </w:rPr>
        <w:drawing>
          <wp:inline distT="0" distB="0" distL="0" distR="0" wp14:anchorId="4BE22D82" wp14:editId="3EF8B316">
            <wp:extent cx="6644640" cy="4663440"/>
            <wp:effectExtent l="0" t="0" r="381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ystemsPerformanceReport2015_FR_Fig8.9.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644640" cy="4663440"/>
                    </a:xfrm>
                    <a:prstGeom prst="rect">
                      <a:avLst/>
                    </a:prstGeom>
                  </pic:spPr>
                </pic:pic>
              </a:graphicData>
            </a:graphic>
          </wp:inline>
        </w:drawing>
      </w:r>
    </w:p>
    <w:p w14:paraId="0270BEA2" w14:textId="77777777" w:rsidR="006B5D30" w:rsidRDefault="006B5D30" w:rsidP="006B5D30">
      <w:pPr>
        <w:jc w:val="center"/>
      </w:pPr>
      <w:r>
        <w:br w:type="page"/>
      </w:r>
    </w:p>
    <w:p w14:paraId="3A4DF8D6" w14:textId="77777777" w:rsidR="006B5D30" w:rsidRPr="00113C3A" w:rsidRDefault="006B5D30" w:rsidP="006B5D30">
      <w:pPr>
        <w:pStyle w:val="Heading1"/>
        <w:rPr>
          <w:rFonts w:eastAsia="Times New Roman"/>
          <w:lang w:val="fr-CA" w:eastAsia="en-CA"/>
        </w:rPr>
      </w:pPr>
      <w:bookmarkStart w:id="52" w:name="_Toc437589691"/>
      <w:r w:rsidRPr="00113C3A">
        <w:rPr>
          <w:lang w:val="fr-CA"/>
        </w:rPr>
        <w:lastRenderedPageBreak/>
        <w:t xml:space="preserve">Figure 8.10 </w:t>
      </w:r>
      <w:r w:rsidRPr="00113C3A">
        <w:rPr>
          <w:rFonts w:eastAsia="Times New Roman"/>
          <w:lang w:val="fr-CA" w:eastAsia="en-CA"/>
        </w:rPr>
        <w:t>Taux de mortalité normalisé selon l’âge (population de 2011) des cas de cancer du poumon selon la province – de 2009 à 2011 combinés</w:t>
      </w:r>
      <w:bookmarkEnd w:id="52"/>
    </w:p>
    <w:p w14:paraId="5C4FF51F" w14:textId="77777777" w:rsidR="006B5D30" w:rsidRDefault="006B5D30" w:rsidP="006B5D30">
      <w:pPr>
        <w:jc w:val="center"/>
      </w:pPr>
      <w:r>
        <w:rPr>
          <w:noProof/>
          <w:lang w:val="en-US"/>
        </w:rPr>
        <w:drawing>
          <wp:inline distT="0" distB="0" distL="0" distR="0" wp14:anchorId="65FB2B2E" wp14:editId="6FB47BE5">
            <wp:extent cx="6644640" cy="4395216"/>
            <wp:effectExtent l="0" t="0" r="381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ystemsPerformanceReport2015_FR_Fig8.10.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644640" cy="4395216"/>
                    </a:xfrm>
                    <a:prstGeom prst="rect">
                      <a:avLst/>
                    </a:prstGeom>
                  </pic:spPr>
                </pic:pic>
              </a:graphicData>
            </a:graphic>
          </wp:inline>
        </w:drawing>
      </w:r>
    </w:p>
    <w:p w14:paraId="027B8CC5" w14:textId="77777777" w:rsidR="006B5D30" w:rsidRDefault="006B5D30" w:rsidP="006B5D30">
      <w:pPr>
        <w:jc w:val="center"/>
      </w:pPr>
      <w:r>
        <w:br w:type="page"/>
      </w:r>
    </w:p>
    <w:p w14:paraId="58D40143" w14:textId="77777777" w:rsidR="006B5D30" w:rsidRDefault="006B5D30" w:rsidP="006B5D30">
      <w:pPr>
        <w:pStyle w:val="Heading1"/>
        <w:rPr>
          <w:lang w:val="fr-CA"/>
        </w:rPr>
      </w:pPr>
      <w:bookmarkStart w:id="53" w:name="_Toc437589692"/>
      <w:r w:rsidRPr="00113C3A">
        <w:rPr>
          <w:lang w:val="fr-CA"/>
        </w:rPr>
        <w:lastRenderedPageBreak/>
        <w:t xml:space="preserve">Figure 8.11 Ratio de survie relative à cinq ans normalisé selon l’âge† des cas de cancer du poumon selon la province </w:t>
      </w:r>
      <w:r>
        <w:rPr>
          <w:lang w:val="fr-CA"/>
        </w:rPr>
        <w:t>– de 2006 à 2008 combinés</w:t>
      </w:r>
      <w:bookmarkEnd w:id="53"/>
    </w:p>
    <w:p w14:paraId="58413AD0" w14:textId="77777777" w:rsidR="006B5D30" w:rsidRPr="00113C3A" w:rsidRDefault="006B5D30" w:rsidP="006B5D30">
      <w:pPr>
        <w:jc w:val="center"/>
        <w:rPr>
          <w:lang w:val="fr-CA"/>
        </w:rPr>
      </w:pPr>
      <w:r>
        <w:rPr>
          <w:noProof/>
          <w:lang w:val="en-US"/>
        </w:rPr>
        <w:drawing>
          <wp:inline distT="0" distB="0" distL="0" distR="0" wp14:anchorId="7A01E784" wp14:editId="361B9F60">
            <wp:extent cx="6644640" cy="4233672"/>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ystemsPerformanceReport2015_FR_Fig8.1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644640" cy="4233672"/>
                    </a:xfrm>
                    <a:prstGeom prst="rect">
                      <a:avLst/>
                    </a:prstGeom>
                  </pic:spPr>
                </pic:pic>
              </a:graphicData>
            </a:graphic>
          </wp:inline>
        </w:drawing>
      </w:r>
    </w:p>
    <w:p w14:paraId="597A1561" w14:textId="77777777" w:rsidR="006B5D30" w:rsidRPr="00113C3A" w:rsidRDefault="006B5D30" w:rsidP="006B5D30">
      <w:pPr>
        <w:jc w:val="center"/>
        <w:rPr>
          <w:lang w:val="fr-CA"/>
        </w:rPr>
      </w:pPr>
      <w:r w:rsidRPr="00113C3A">
        <w:rPr>
          <w:lang w:val="fr-CA"/>
        </w:rPr>
        <w:br w:type="page"/>
      </w:r>
    </w:p>
    <w:p w14:paraId="3B92FF95" w14:textId="77777777" w:rsidR="006B5D30" w:rsidRPr="00113C3A" w:rsidRDefault="006B5D30" w:rsidP="006B5D30">
      <w:pPr>
        <w:pStyle w:val="Heading1"/>
        <w:rPr>
          <w:rFonts w:eastAsia="Times New Roman"/>
          <w:lang w:val="fr-CA" w:eastAsia="en-CA"/>
        </w:rPr>
      </w:pPr>
      <w:bookmarkStart w:id="54" w:name="_Toc437589693"/>
      <w:r w:rsidRPr="00113C3A">
        <w:rPr>
          <w:lang w:val="fr-CA"/>
        </w:rPr>
        <w:lastRenderedPageBreak/>
        <w:t xml:space="preserve">Figure 8.12 </w:t>
      </w:r>
      <w:r w:rsidRPr="00113C3A">
        <w:rPr>
          <w:rFonts w:eastAsia="Times New Roman"/>
          <w:lang w:val="fr-CA" w:eastAsia="en-CA"/>
        </w:rPr>
        <w:t>Ratio de survie relative à cinq ans normalisé selon l’âge† des cas de cancer du poumon, Canada – de 1992 à 1994 et de 2006 à 2008 combinés</w:t>
      </w:r>
      <w:bookmarkEnd w:id="54"/>
    </w:p>
    <w:p w14:paraId="1163CCB3" w14:textId="77777777" w:rsidR="006B5D30" w:rsidRDefault="006B5D30" w:rsidP="006B5D30">
      <w:pPr>
        <w:jc w:val="center"/>
      </w:pPr>
      <w:r>
        <w:rPr>
          <w:noProof/>
          <w:lang w:val="en-US"/>
        </w:rPr>
        <w:drawing>
          <wp:inline distT="0" distB="0" distL="0" distR="0" wp14:anchorId="5CBDF96B" wp14:editId="7F166C03">
            <wp:extent cx="4547616" cy="4739640"/>
            <wp:effectExtent l="0" t="0" r="5715"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ystemsPerformanceReport2015_FR_Fig8.1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547616" cy="4739640"/>
                    </a:xfrm>
                    <a:prstGeom prst="rect">
                      <a:avLst/>
                    </a:prstGeom>
                  </pic:spPr>
                </pic:pic>
              </a:graphicData>
            </a:graphic>
          </wp:inline>
        </w:drawing>
      </w:r>
    </w:p>
    <w:p w14:paraId="3CB0B323" w14:textId="77777777" w:rsidR="006B5D30" w:rsidRDefault="006B5D30" w:rsidP="006B5D30">
      <w:pPr>
        <w:jc w:val="center"/>
      </w:pPr>
      <w:r>
        <w:br w:type="page"/>
      </w:r>
    </w:p>
    <w:p w14:paraId="61D523D3" w14:textId="77777777" w:rsidR="006B5D30" w:rsidRPr="00113C3A" w:rsidRDefault="006B5D30" w:rsidP="006B5D30">
      <w:pPr>
        <w:pStyle w:val="Heading1"/>
        <w:rPr>
          <w:rFonts w:eastAsia="Times New Roman"/>
          <w:lang w:val="fr-CA" w:eastAsia="en-CA"/>
        </w:rPr>
      </w:pPr>
      <w:bookmarkStart w:id="55" w:name="_Toc437589694"/>
      <w:r w:rsidRPr="00113C3A">
        <w:rPr>
          <w:lang w:val="fr-CA"/>
        </w:rPr>
        <w:lastRenderedPageBreak/>
        <w:t xml:space="preserve">Figure 8.13 </w:t>
      </w:r>
      <w:r w:rsidRPr="00113C3A">
        <w:rPr>
          <w:rFonts w:eastAsia="Times New Roman"/>
          <w:lang w:val="fr-CA" w:eastAsia="en-CA"/>
        </w:rPr>
        <w:t>Taux d’incidence et de mortalité normalisés selon l’âge (population de 2011) des cas de cancer colorectal selon le sexe, Canada – de 1992 à 2011</w:t>
      </w:r>
      <w:bookmarkEnd w:id="55"/>
    </w:p>
    <w:p w14:paraId="48CC34E3" w14:textId="77777777" w:rsidR="006B5D30" w:rsidRDefault="006B5D30" w:rsidP="006B5D30">
      <w:pPr>
        <w:jc w:val="center"/>
      </w:pPr>
      <w:r>
        <w:rPr>
          <w:noProof/>
          <w:lang w:val="en-US"/>
        </w:rPr>
        <w:drawing>
          <wp:inline distT="0" distB="0" distL="0" distR="0" wp14:anchorId="1A3AAFBF" wp14:editId="5874E137">
            <wp:extent cx="6644640" cy="4575048"/>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ystemsPerformanceReport2015_FR_Fig8.1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644640" cy="4575048"/>
                    </a:xfrm>
                    <a:prstGeom prst="rect">
                      <a:avLst/>
                    </a:prstGeom>
                  </pic:spPr>
                </pic:pic>
              </a:graphicData>
            </a:graphic>
          </wp:inline>
        </w:drawing>
      </w:r>
    </w:p>
    <w:p w14:paraId="5D15BD22" w14:textId="77777777" w:rsidR="006B5D30" w:rsidRDefault="006B5D30" w:rsidP="006B5D30">
      <w:pPr>
        <w:jc w:val="center"/>
      </w:pPr>
      <w:r>
        <w:br w:type="page"/>
      </w:r>
    </w:p>
    <w:p w14:paraId="2605A4EF" w14:textId="77777777" w:rsidR="006B5D30" w:rsidRPr="00113C3A" w:rsidRDefault="006B5D30" w:rsidP="006B5D30">
      <w:pPr>
        <w:pStyle w:val="Heading1"/>
        <w:rPr>
          <w:rFonts w:eastAsia="Times New Roman"/>
          <w:lang w:val="fr-CA" w:eastAsia="en-CA"/>
        </w:rPr>
      </w:pPr>
      <w:bookmarkStart w:id="56" w:name="_Toc437589695"/>
      <w:r w:rsidRPr="00113C3A">
        <w:rPr>
          <w:lang w:val="fr-CA"/>
        </w:rPr>
        <w:lastRenderedPageBreak/>
        <w:t xml:space="preserve">Figure 8.14 </w:t>
      </w:r>
      <w:r w:rsidRPr="00113C3A">
        <w:rPr>
          <w:rFonts w:eastAsia="Times New Roman"/>
          <w:lang w:val="fr-CA" w:eastAsia="en-CA"/>
        </w:rPr>
        <w:t>Taux d’incidence normalisé selon l’âge (population de 2011) des cas de cancer colorectal selon le sexe et la province – de 2008 à 2010 combinés</w:t>
      </w:r>
      <w:bookmarkEnd w:id="56"/>
    </w:p>
    <w:p w14:paraId="419527A9" w14:textId="77777777" w:rsidR="006B5D30" w:rsidRDefault="006B5D30" w:rsidP="006B5D30">
      <w:pPr>
        <w:jc w:val="center"/>
      </w:pPr>
      <w:r>
        <w:rPr>
          <w:noProof/>
          <w:lang w:val="en-US"/>
        </w:rPr>
        <w:drawing>
          <wp:inline distT="0" distB="0" distL="0" distR="0" wp14:anchorId="16F0E8FA" wp14:editId="33268B2C">
            <wp:extent cx="6644640" cy="4383024"/>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ystemsPerformanceReport2015_FR_Fig8.1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644640" cy="4383024"/>
                    </a:xfrm>
                    <a:prstGeom prst="rect">
                      <a:avLst/>
                    </a:prstGeom>
                  </pic:spPr>
                </pic:pic>
              </a:graphicData>
            </a:graphic>
          </wp:inline>
        </w:drawing>
      </w:r>
    </w:p>
    <w:p w14:paraId="121F5923" w14:textId="77777777" w:rsidR="006B5D30" w:rsidRDefault="006B5D30" w:rsidP="006B5D30">
      <w:pPr>
        <w:jc w:val="center"/>
      </w:pPr>
      <w:r>
        <w:br w:type="page"/>
      </w:r>
    </w:p>
    <w:p w14:paraId="57AB45EA" w14:textId="77777777" w:rsidR="006B5D30" w:rsidRPr="00113C3A" w:rsidRDefault="006B5D30" w:rsidP="006B5D30">
      <w:pPr>
        <w:pStyle w:val="Heading1"/>
        <w:rPr>
          <w:rFonts w:eastAsia="Times New Roman"/>
          <w:lang w:val="fr-CA" w:eastAsia="en-CA"/>
        </w:rPr>
      </w:pPr>
      <w:bookmarkStart w:id="57" w:name="_Toc437589696"/>
      <w:r w:rsidRPr="00113C3A">
        <w:rPr>
          <w:lang w:val="fr-CA"/>
        </w:rPr>
        <w:lastRenderedPageBreak/>
        <w:t xml:space="preserve">Figure 8.15 </w:t>
      </w:r>
      <w:r w:rsidRPr="00113C3A">
        <w:rPr>
          <w:rFonts w:eastAsia="Times New Roman"/>
          <w:lang w:val="fr-CA" w:eastAsia="en-CA"/>
        </w:rPr>
        <w:t>Taux d’incidence normalisé selon l’âge (population de 2011) des cas de cancer colorectal</w:t>
      </w:r>
      <w:r w:rsidRPr="00113C3A">
        <w:rPr>
          <w:rFonts w:eastAsia="Times New Roman"/>
          <w:lang w:eastAsia="en-CA"/>
        </w:rPr>
        <w:t>ᶧ</w:t>
      </w:r>
      <w:r w:rsidRPr="00113C3A">
        <w:rPr>
          <w:rFonts w:eastAsia="Times New Roman"/>
          <w:lang w:val="fr-CA" w:eastAsia="en-CA"/>
        </w:rPr>
        <w:t xml:space="preserve"> selon le stade au diagnostic et la province – diagnostic fait entre 2010 à 2012 combinés</w:t>
      </w:r>
      <w:bookmarkEnd w:id="57"/>
    </w:p>
    <w:p w14:paraId="60A616AB" w14:textId="77777777" w:rsidR="006B5D30" w:rsidRDefault="006B5D30" w:rsidP="006B5D30">
      <w:pPr>
        <w:jc w:val="center"/>
      </w:pPr>
      <w:r>
        <w:rPr>
          <w:noProof/>
          <w:lang w:val="en-US"/>
        </w:rPr>
        <w:drawing>
          <wp:inline distT="0" distB="0" distL="0" distR="0" wp14:anchorId="68B5F458" wp14:editId="276BBA3F">
            <wp:extent cx="6644640" cy="4636008"/>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ystemsPerformanceReport2015_FR_Fig8.1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644640" cy="4636008"/>
                    </a:xfrm>
                    <a:prstGeom prst="rect">
                      <a:avLst/>
                    </a:prstGeom>
                  </pic:spPr>
                </pic:pic>
              </a:graphicData>
            </a:graphic>
          </wp:inline>
        </w:drawing>
      </w:r>
    </w:p>
    <w:p w14:paraId="5EC09734" w14:textId="77777777" w:rsidR="006B5D30" w:rsidRDefault="006B5D30" w:rsidP="006B5D30">
      <w:pPr>
        <w:jc w:val="center"/>
      </w:pPr>
      <w:r>
        <w:br w:type="page"/>
      </w:r>
    </w:p>
    <w:p w14:paraId="1D75941D" w14:textId="77777777" w:rsidR="006B5D30" w:rsidRPr="00113C3A" w:rsidRDefault="006B5D30" w:rsidP="006B5D30">
      <w:pPr>
        <w:pStyle w:val="Heading1"/>
        <w:rPr>
          <w:rFonts w:eastAsia="Times New Roman"/>
          <w:lang w:val="fr-CA" w:eastAsia="en-CA"/>
        </w:rPr>
      </w:pPr>
      <w:bookmarkStart w:id="58" w:name="_Toc437589697"/>
      <w:r w:rsidRPr="00113C3A">
        <w:rPr>
          <w:lang w:val="fr-CA"/>
        </w:rPr>
        <w:lastRenderedPageBreak/>
        <w:t xml:space="preserve">Figure 8.16 </w:t>
      </w:r>
      <w:r w:rsidRPr="00113C3A">
        <w:rPr>
          <w:rFonts w:eastAsia="Times New Roman"/>
          <w:lang w:val="fr-CA" w:eastAsia="en-CA"/>
        </w:rPr>
        <w:t>Taux de mortalité normalisé selon l’âge (population de 2011) des cas de cancer colorectal selon la province – de 2009 à 2011 combinés</w:t>
      </w:r>
      <w:bookmarkEnd w:id="58"/>
    </w:p>
    <w:p w14:paraId="42BFD76E" w14:textId="77777777" w:rsidR="006B5D30" w:rsidRDefault="006B5D30" w:rsidP="006B5D30">
      <w:pPr>
        <w:jc w:val="center"/>
      </w:pPr>
      <w:r>
        <w:rPr>
          <w:noProof/>
          <w:lang w:val="en-US"/>
        </w:rPr>
        <w:drawing>
          <wp:inline distT="0" distB="0" distL="0" distR="0" wp14:anchorId="6AD4DA67" wp14:editId="02CB8141">
            <wp:extent cx="6644640" cy="4663440"/>
            <wp:effectExtent l="0" t="0" r="381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ystemsPerformanceReport2015_FR_Fig8.1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644640" cy="4663440"/>
                    </a:xfrm>
                    <a:prstGeom prst="rect">
                      <a:avLst/>
                    </a:prstGeom>
                  </pic:spPr>
                </pic:pic>
              </a:graphicData>
            </a:graphic>
          </wp:inline>
        </w:drawing>
      </w:r>
    </w:p>
    <w:p w14:paraId="54B867F5" w14:textId="77777777" w:rsidR="006B5D30" w:rsidRDefault="006B5D30" w:rsidP="006B5D30">
      <w:pPr>
        <w:jc w:val="center"/>
      </w:pPr>
      <w:r>
        <w:br w:type="page"/>
      </w:r>
    </w:p>
    <w:p w14:paraId="41790968" w14:textId="77777777" w:rsidR="006B5D30" w:rsidRPr="00113C3A" w:rsidRDefault="006B5D30" w:rsidP="006B5D30">
      <w:pPr>
        <w:pStyle w:val="Heading1"/>
        <w:rPr>
          <w:rFonts w:eastAsia="Times New Roman"/>
          <w:lang w:val="fr-CA" w:eastAsia="en-CA"/>
        </w:rPr>
      </w:pPr>
      <w:bookmarkStart w:id="59" w:name="_Toc437589698"/>
      <w:r w:rsidRPr="00113C3A">
        <w:rPr>
          <w:lang w:val="fr-CA"/>
        </w:rPr>
        <w:lastRenderedPageBreak/>
        <w:t xml:space="preserve">Figure 8.17 </w:t>
      </w:r>
      <w:r w:rsidRPr="00113C3A">
        <w:rPr>
          <w:rFonts w:eastAsia="Times New Roman"/>
          <w:lang w:val="fr-CA" w:eastAsia="en-CA"/>
        </w:rPr>
        <w:t>Ratio de survie relative à cinq ans normalisé selon l’âge</w:t>
      </w:r>
      <w:r w:rsidRPr="00113C3A">
        <w:rPr>
          <w:rFonts w:eastAsia="Times New Roman"/>
          <w:vertAlign w:val="superscript"/>
          <w:lang w:val="fr-CA" w:eastAsia="en-CA"/>
        </w:rPr>
        <w:t xml:space="preserve">† </w:t>
      </w:r>
      <w:r w:rsidRPr="00113C3A">
        <w:rPr>
          <w:rFonts w:eastAsia="Times New Roman"/>
          <w:lang w:val="fr-CA" w:eastAsia="en-CA"/>
        </w:rPr>
        <w:t>des cas de cancer colorectal selon la province – de 2006 à 2008 combinés</w:t>
      </w:r>
      <w:bookmarkEnd w:id="59"/>
    </w:p>
    <w:p w14:paraId="5B6AA7BB" w14:textId="77777777" w:rsidR="006B5D30" w:rsidRDefault="006B5D30" w:rsidP="006B5D30">
      <w:pPr>
        <w:jc w:val="center"/>
      </w:pPr>
      <w:r>
        <w:rPr>
          <w:noProof/>
          <w:lang w:val="en-US"/>
        </w:rPr>
        <w:drawing>
          <wp:inline distT="0" distB="0" distL="0" distR="0" wp14:anchorId="542A5A60" wp14:editId="77DA04D1">
            <wp:extent cx="6644640" cy="4191000"/>
            <wp:effectExtent l="0" t="0" r="381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ystemsPerformanceReport2015_FR_Fig8.1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644640" cy="4191000"/>
                    </a:xfrm>
                    <a:prstGeom prst="rect">
                      <a:avLst/>
                    </a:prstGeom>
                  </pic:spPr>
                </pic:pic>
              </a:graphicData>
            </a:graphic>
          </wp:inline>
        </w:drawing>
      </w:r>
    </w:p>
    <w:p w14:paraId="25B19FAE" w14:textId="77777777" w:rsidR="006B5D30" w:rsidRDefault="006B5D30" w:rsidP="006B5D30">
      <w:pPr>
        <w:jc w:val="center"/>
      </w:pPr>
      <w:r>
        <w:br w:type="page"/>
      </w:r>
    </w:p>
    <w:p w14:paraId="2A479B85" w14:textId="77777777" w:rsidR="006B5D30" w:rsidRPr="00113C3A" w:rsidRDefault="006B5D30" w:rsidP="006B5D30">
      <w:pPr>
        <w:pStyle w:val="Heading1"/>
        <w:rPr>
          <w:rFonts w:eastAsia="Times New Roman"/>
          <w:lang w:val="fr-CA" w:eastAsia="en-CA"/>
        </w:rPr>
      </w:pPr>
      <w:bookmarkStart w:id="60" w:name="_Toc437589699"/>
      <w:r w:rsidRPr="00113C3A">
        <w:rPr>
          <w:lang w:val="fr-CA"/>
        </w:rPr>
        <w:lastRenderedPageBreak/>
        <w:t xml:space="preserve">Figure 8.18 </w:t>
      </w:r>
      <w:r w:rsidRPr="00113C3A">
        <w:rPr>
          <w:rFonts w:eastAsia="Times New Roman"/>
          <w:lang w:val="fr-CA" w:eastAsia="en-CA"/>
        </w:rPr>
        <w:t>Ratio de survie relative à cinq ans normalisé selon l’âge</w:t>
      </w:r>
      <w:r w:rsidRPr="00113C3A">
        <w:rPr>
          <w:rFonts w:eastAsia="Times New Roman"/>
          <w:vertAlign w:val="superscript"/>
          <w:lang w:val="fr-CA" w:eastAsia="en-CA"/>
        </w:rPr>
        <w:t xml:space="preserve">†† </w:t>
      </w:r>
      <w:r w:rsidRPr="00113C3A">
        <w:rPr>
          <w:rFonts w:eastAsia="Times New Roman"/>
          <w:lang w:val="fr-CA" w:eastAsia="en-CA"/>
        </w:rPr>
        <w:t>des cas de cancer colorectal, Canada – de 1992 à 1994 combinés et de 2006 à 2008 combinés</w:t>
      </w:r>
      <w:bookmarkEnd w:id="60"/>
    </w:p>
    <w:p w14:paraId="182617D5" w14:textId="77777777" w:rsidR="006B5D30" w:rsidRDefault="006B5D30" w:rsidP="006B5D30">
      <w:pPr>
        <w:jc w:val="center"/>
      </w:pPr>
      <w:r>
        <w:rPr>
          <w:noProof/>
          <w:lang w:val="en-US"/>
        </w:rPr>
        <w:drawing>
          <wp:inline distT="0" distB="0" distL="0" distR="0" wp14:anchorId="01F7C502" wp14:editId="194D939A">
            <wp:extent cx="4547616" cy="4712208"/>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ystemsPerformanceReport2015_FR_Fig8.18.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47616" cy="4712208"/>
                    </a:xfrm>
                    <a:prstGeom prst="rect">
                      <a:avLst/>
                    </a:prstGeom>
                  </pic:spPr>
                </pic:pic>
              </a:graphicData>
            </a:graphic>
          </wp:inline>
        </w:drawing>
      </w:r>
    </w:p>
    <w:p w14:paraId="086D0A0B" w14:textId="77777777" w:rsidR="006B5D30" w:rsidRDefault="006B5D30" w:rsidP="006B5D30">
      <w:pPr>
        <w:jc w:val="center"/>
      </w:pPr>
      <w:r>
        <w:br w:type="page"/>
      </w:r>
    </w:p>
    <w:p w14:paraId="5A26FC4B" w14:textId="77777777" w:rsidR="006B5D30" w:rsidRPr="00113C3A" w:rsidRDefault="006B5D30" w:rsidP="006B5D30">
      <w:pPr>
        <w:pStyle w:val="Heading1"/>
        <w:rPr>
          <w:rFonts w:eastAsia="Times New Roman"/>
          <w:lang w:val="fr-CA" w:eastAsia="en-CA"/>
        </w:rPr>
      </w:pPr>
      <w:bookmarkStart w:id="61" w:name="_Toc437589700"/>
      <w:r w:rsidRPr="00113C3A">
        <w:rPr>
          <w:lang w:val="fr-CA"/>
        </w:rPr>
        <w:lastRenderedPageBreak/>
        <w:t xml:space="preserve">Figure 8.19 </w:t>
      </w:r>
      <w:r w:rsidRPr="00113C3A">
        <w:rPr>
          <w:rFonts w:eastAsia="Times New Roman"/>
          <w:lang w:val="fr-CA" w:eastAsia="en-CA"/>
        </w:rPr>
        <w:t>Taux d’incidence et de mortalité normalisés selon l’âge (population de 2011) des cas de cancer de la prostate, Canada – de 1992 à 2011</w:t>
      </w:r>
      <w:bookmarkEnd w:id="61"/>
      <w:r w:rsidRPr="00113C3A">
        <w:rPr>
          <w:rFonts w:eastAsia="Times New Roman"/>
          <w:lang w:val="fr-CA" w:eastAsia="en-CA"/>
        </w:rPr>
        <w:t xml:space="preserve"> </w:t>
      </w:r>
    </w:p>
    <w:p w14:paraId="24A9C135" w14:textId="77777777" w:rsidR="006B5D30" w:rsidRDefault="006B5D30" w:rsidP="006B5D30">
      <w:pPr>
        <w:jc w:val="center"/>
      </w:pPr>
      <w:r>
        <w:rPr>
          <w:noProof/>
          <w:lang w:val="en-US"/>
        </w:rPr>
        <w:drawing>
          <wp:inline distT="0" distB="0" distL="0" distR="0" wp14:anchorId="5024456D" wp14:editId="1A884635">
            <wp:extent cx="6644640" cy="4523232"/>
            <wp:effectExtent l="0" t="0" r="381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ystemsPerformanceReport2015_FR_Fig8.19.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644640" cy="4523232"/>
                    </a:xfrm>
                    <a:prstGeom prst="rect">
                      <a:avLst/>
                    </a:prstGeom>
                  </pic:spPr>
                </pic:pic>
              </a:graphicData>
            </a:graphic>
          </wp:inline>
        </w:drawing>
      </w:r>
    </w:p>
    <w:p w14:paraId="1F65E0AD" w14:textId="77777777" w:rsidR="006B5D30" w:rsidRDefault="006B5D30" w:rsidP="006B5D30">
      <w:pPr>
        <w:jc w:val="center"/>
      </w:pPr>
      <w:r>
        <w:br w:type="page"/>
      </w:r>
    </w:p>
    <w:p w14:paraId="22691F32" w14:textId="77777777" w:rsidR="006B5D30" w:rsidRPr="00113C3A" w:rsidRDefault="006B5D30" w:rsidP="006B5D30">
      <w:pPr>
        <w:pStyle w:val="Heading1"/>
        <w:rPr>
          <w:rFonts w:eastAsia="Times New Roman"/>
          <w:lang w:val="fr-CA" w:eastAsia="en-CA"/>
        </w:rPr>
      </w:pPr>
      <w:bookmarkStart w:id="62" w:name="_Toc437589701"/>
      <w:r w:rsidRPr="00113C3A">
        <w:rPr>
          <w:lang w:val="fr-CA"/>
        </w:rPr>
        <w:lastRenderedPageBreak/>
        <w:t xml:space="preserve">Figure 8.20 </w:t>
      </w:r>
      <w:r w:rsidRPr="00113C3A">
        <w:rPr>
          <w:rFonts w:eastAsia="Times New Roman"/>
          <w:lang w:val="fr-CA" w:eastAsia="en-CA"/>
        </w:rPr>
        <w:t>Taux d’incidence normalisé selon l’âge (population de 2011) des cas de cancer de la prostate selon la province – de 2008 à 2010 combinés</w:t>
      </w:r>
      <w:bookmarkEnd w:id="62"/>
    </w:p>
    <w:p w14:paraId="35DE8C8B" w14:textId="77777777" w:rsidR="006B5D30" w:rsidRDefault="006B5D30" w:rsidP="006B5D30">
      <w:pPr>
        <w:jc w:val="center"/>
      </w:pPr>
      <w:r>
        <w:rPr>
          <w:noProof/>
          <w:lang w:val="en-US"/>
        </w:rPr>
        <w:drawing>
          <wp:inline distT="0" distB="0" distL="0" distR="0" wp14:anchorId="78FA3066" wp14:editId="311FAE65">
            <wp:extent cx="6644640" cy="4495800"/>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ystemsPerformanceReport2015_FR_Fig8.2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644640" cy="4495800"/>
                    </a:xfrm>
                    <a:prstGeom prst="rect">
                      <a:avLst/>
                    </a:prstGeom>
                  </pic:spPr>
                </pic:pic>
              </a:graphicData>
            </a:graphic>
          </wp:inline>
        </w:drawing>
      </w:r>
    </w:p>
    <w:p w14:paraId="35C27FFF" w14:textId="77777777" w:rsidR="006B5D30" w:rsidRDefault="006B5D30" w:rsidP="006B5D30">
      <w:pPr>
        <w:jc w:val="center"/>
      </w:pPr>
      <w:r>
        <w:br w:type="page"/>
      </w:r>
    </w:p>
    <w:p w14:paraId="01B528C4" w14:textId="77777777" w:rsidR="006B5D30" w:rsidRPr="00113C3A" w:rsidRDefault="006B5D30" w:rsidP="006B5D30">
      <w:pPr>
        <w:pStyle w:val="Heading1"/>
        <w:rPr>
          <w:rFonts w:eastAsia="Times New Roman"/>
          <w:lang w:val="fr-CA" w:eastAsia="en-CA"/>
        </w:rPr>
      </w:pPr>
      <w:bookmarkStart w:id="63" w:name="_Toc437589702"/>
      <w:r w:rsidRPr="00113C3A">
        <w:rPr>
          <w:lang w:val="fr-CA"/>
        </w:rPr>
        <w:lastRenderedPageBreak/>
        <w:t xml:space="preserve">Figure 8.21 </w:t>
      </w:r>
      <w:r w:rsidRPr="00113C3A">
        <w:rPr>
          <w:rFonts w:eastAsia="Times New Roman"/>
          <w:lang w:val="fr-CA" w:eastAsia="en-CA"/>
        </w:rPr>
        <w:t>Taux d’incidence normalisé selon l’âge (population de 2011) des cas de cancer de la prostate selon le stade au diagnostic et la province – diagnostic fait entre 2010 à 2012 combinés</w:t>
      </w:r>
      <w:bookmarkEnd w:id="63"/>
    </w:p>
    <w:p w14:paraId="1DE9937D" w14:textId="77777777" w:rsidR="006B5D30" w:rsidRDefault="006B5D30" w:rsidP="006B5D30">
      <w:pPr>
        <w:jc w:val="center"/>
      </w:pPr>
      <w:r>
        <w:rPr>
          <w:noProof/>
          <w:lang w:val="en-US"/>
        </w:rPr>
        <w:drawing>
          <wp:inline distT="0" distB="0" distL="0" distR="0" wp14:anchorId="27721D8D" wp14:editId="5FE4814A">
            <wp:extent cx="6644640" cy="4663440"/>
            <wp:effectExtent l="0" t="0" r="381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ystemsPerformanceReport2015_FR_Fig8.2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644640" cy="4663440"/>
                    </a:xfrm>
                    <a:prstGeom prst="rect">
                      <a:avLst/>
                    </a:prstGeom>
                  </pic:spPr>
                </pic:pic>
              </a:graphicData>
            </a:graphic>
          </wp:inline>
        </w:drawing>
      </w:r>
    </w:p>
    <w:p w14:paraId="24CBE34D" w14:textId="77777777" w:rsidR="006B5D30" w:rsidRDefault="006B5D30" w:rsidP="006B5D30">
      <w:pPr>
        <w:jc w:val="center"/>
      </w:pPr>
      <w:r>
        <w:br w:type="page"/>
      </w:r>
    </w:p>
    <w:p w14:paraId="3CDBD6FE" w14:textId="77777777" w:rsidR="006B5D30" w:rsidRPr="00113C3A" w:rsidRDefault="006B5D30" w:rsidP="006B5D30">
      <w:pPr>
        <w:pStyle w:val="Heading1"/>
        <w:rPr>
          <w:rFonts w:eastAsia="Times New Roman"/>
          <w:lang w:val="fr-CA" w:eastAsia="en-CA"/>
        </w:rPr>
      </w:pPr>
      <w:bookmarkStart w:id="64" w:name="_Toc437589703"/>
      <w:r w:rsidRPr="00113C3A">
        <w:rPr>
          <w:lang w:val="fr-CA"/>
        </w:rPr>
        <w:lastRenderedPageBreak/>
        <w:t xml:space="preserve">Figure 8.22 </w:t>
      </w:r>
      <w:r w:rsidRPr="00113C3A">
        <w:rPr>
          <w:rFonts w:eastAsia="Times New Roman"/>
          <w:lang w:val="fr-CA" w:eastAsia="en-CA"/>
        </w:rPr>
        <w:t>Taux de mortalité normalisé selon l’âge (population de 2011) des cas de cancer de la prostate selon la province – de 2009 à 2011 combinés</w:t>
      </w:r>
      <w:bookmarkEnd w:id="64"/>
    </w:p>
    <w:p w14:paraId="58D395D4" w14:textId="77777777" w:rsidR="006B5D30" w:rsidRDefault="006B5D30" w:rsidP="006B5D30">
      <w:pPr>
        <w:jc w:val="center"/>
      </w:pPr>
      <w:r>
        <w:rPr>
          <w:noProof/>
          <w:lang w:val="en-US"/>
        </w:rPr>
        <w:drawing>
          <wp:inline distT="0" distB="0" distL="0" distR="0" wp14:anchorId="5C40D045" wp14:editId="3D82BF7B">
            <wp:extent cx="6644640" cy="4407408"/>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ystemsPerformanceReport2015_FR_Fig8.2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644640" cy="4407408"/>
                    </a:xfrm>
                    <a:prstGeom prst="rect">
                      <a:avLst/>
                    </a:prstGeom>
                  </pic:spPr>
                </pic:pic>
              </a:graphicData>
            </a:graphic>
          </wp:inline>
        </w:drawing>
      </w:r>
    </w:p>
    <w:p w14:paraId="4827D1C3" w14:textId="77777777" w:rsidR="006B5D30" w:rsidRDefault="006B5D30" w:rsidP="006B5D30">
      <w:pPr>
        <w:jc w:val="center"/>
      </w:pPr>
      <w:r>
        <w:br w:type="page"/>
      </w:r>
    </w:p>
    <w:p w14:paraId="3AA70752" w14:textId="77777777" w:rsidR="006B5D30" w:rsidRPr="00113C3A" w:rsidRDefault="006B5D30" w:rsidP="006B5D30">
      <w:pPr>
        <w:pStyle w:val="Heading1"/>
        <w:rPr>
          <w:rFonts w:eastAsia="Times New Roman"/>
          <w:lang w:val="fr-CA" w:eastAsia="en-CA"/>
        </w:rPr>
      </w:pPr>
      <w:bookmarkStart w:id="65" w:name="_Toc437589704"/>
      <w:r w:rsidRPr="00113C3A">
        <w:rPr>
          <w:lang w:val="fr-CA"/>
        </w:rPr>
        <w:lastRenderedPageBreak/>
        <w:t xml:space="preserve">Figure 8.23 </w:t>
      </w:r>
      <w:r w:rsidRPr="00113C3A">
        <w:rPr>
          <w:rFonts w:eastAsia="Times New Roman"/>
          <w:lang w:val="fr-CA" w:eastAsia="en-CA"/>
        </w:rPr>
        <w:t>Taux d’incidence et de mortalité normalisés selon l’âge (population de 2011) des cas de cancer du pancréas selon le sexe, Canada – de 1992 à 2011</w:t>
      </w:r>
      <w:bookmarkEnd w:id="65"/>
    </w:p>
    <w:p w14:paraId="34D0BAB1" w14:textId="77777777" w:rsidR="006B5D30" w:rsidRDefault="006B5D30" w:rsidP="006B5D30">
      <w:pPr>
        <w:jc w:val="center"/>
      </w:pPr>
      <w:r>
        <w:rPr>
          <w:noProof/>
          <w:lang w:val="en-US"/>
        </w:rPr>
        <w:drawing>
          <wp:inline distT="0" distB="0" distL="0" distR="0" wp14:anchorId="5BF8B869" wp14:editId="6FC76F1B">
            <wp:extent cx="6644640" cy="4483608"/>
            <wp:effectExtent l="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ystemsPerformanceReport2015_FR_Fig8.2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644640" cy="4483608"/>
                    </a:xfrm>
                    <a:prstGeom prst="rect">
                      <a:avLst/>
                    </a:prstGeom>
                  </pic:spPr>
                </pic:pic>
              </a:graphicData>
            </a:graphic>
          </wp:inline>
        </w:drawing>
      </w:r>
    </w:p>
    <w:p w14:paraId="4696F357" w14:textId="77777777" w:rsidR="006B5D30" w:rsidRDefault="006B5D30" w:rsidP="006B5D30">
      <w:pPr>
        <w:jc w:val="center"/>
      </w:pPr>
      <w:r>
        <w:br w:type="page"/>
      </w:r>
    </w:p>
    <w:p w14:paraId="28021EAF" w14:textId="77777777" w:rsidR="006B5D30" w:rsidRPr="00113C3A" w:rsidRDefault="006B5D30" w:rsidP="006B5D30">
      <w:pPr>
        <w:pStyle w:val="Heading1"/>
        <w:rPr>
          <w:rFonts w:eastAsia="Times New Roman"/>
          <w:lang w:val="fr-CA" w:eastAsia="en-CA"/>
        </w:rPr>
      </w:pPr>
      <w:bookmarkStart w:id="66" w:name="_Toc437589705"/>
      <w:r w:rsidRPr="00113C3A">
        <w:rPr>
          <w:lang w:val="fr-CA"/>
        </w:rPr>
        <w:lastRenderedPageBreak/>
        <w:t xml:space="preserve">Figure 8.24 </w:t>
      </w:r>
      <w:r w:rsidRPr="00113C3A">
        <w:rPr>
          <w:rFonts w:eastAsia="Times New Roman"/>
          <w:lang w:val="fr-CA" w:eastAsia="en-CA"/>
        </w:rPr>
        <w:t>Taux d’incidence normalisé selon l’âge (population de 2011) des cas de cancer du pancréas selon la province – de 2008 à 2010 combinés</w:t>
      </w:r>
      <w:bookmarkEnd w:id="66"/>
    </w:p>
    <w:p w14:paraId="745FDD63" w14:textId="77777777" w:rsidR="006B5D30" w:rsidRDefault="006B5D30" w:rsidP="006B5D30">
      <w:pPr>
        <w:jc w:val="center"/>
      </w:pPr>
      <w:r>
        <w:rPr>
          <w:noProof/>
          <w:lang w:val="en-US"/>
        </w:rPr>
        <w:drawing>
          <wp:inline distT="0" distB="0" distL="0" distR="0" wp14:anchorId="50FE4C47" wp14:editId="46C1282B">
            <wp:extent cx="6644640" cy="4483608"/>
            <wp:effectExtent l="0" t="0" r="381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ystemsPerformanceReport2015_FR_Fig8.2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644640" cy="4483608"/>
                    </a:xfrm>
                    <a:prstGeom prst="rect">
                      <a:avLst/>
                    </a:prstGeom>
                  </pic:spPr>
                </pic:pic>
              </a:graphicData>
            </a:graphic>
          </wp:inline>
        </w:drawing>
      </w:r>
    </w:p>
    <w:p w14:paraId="1CBD198D" w14:textId="77777777" w:rsidR="006B5D30" w:rsidRDefault="006B5D30" w:rsidP="006B5D30">
      <w:pPr>
        <w:jc w:val="center"/>
      </w:pPr>
      <w:r>
        <w:br w:type="page"/>
      </w:r>
    </w:p>
    <w:p w14:paraId="1D89EFFF" w14:textId="77777777" w:rsidR="006B5D30" w:rsidRPr="00113C3A" w:rsidRDefault="006B5D30" w:rsidP="006B5D30">
      <w:pPr>
        <w:pStyle w:val="Heading1"/>
        <w:rPr>
          <w:rFonts w:eastAsia="Times New Roman"/>
          <w:lang w:val="fr-CA" w:eastAsia="en-CA"/>
        </w:rPr>
      </w:pPr>
      <w:bookmarkStart w:id="67" w:name="_Toc437589706"/>
      <w:r w:rsidRPr="00113C3A">
        <w:rPr>
          <w:lang w:val="fr-CA"/>
        </w:rPr>
        <w:lastRenderedPageBreak/>
        <w:t xml:space="preserve">Figure 8.25 </w:t>
      </w:r>
      <w:r w:rsidRPr="00113C3A">
        <w:rPr>
          <w:rFonts w:eastAsia="Times New Roman"/>
          <w:lang w:val="fr-CA" w:eastAsia="en-CA"/>
        </w:rPr>
        <w:t>Taux de mortalité normalisés selon l’âge (population de 2011) des cas de cancer du pancréas selon la province – de 2009 à 2011 combinés</w:t>
      </w:r>
      <w:bookmarkEnd w:id="67"/>
    </w:p>
    <w:p w14:paraId="4FC8BED6" w14:textId="77777777" w:rsidR="006B5D30" w:rsidRDefault="006B5D30" w:rsidP="006B5D30">
      <w:pPr>
        <w:jc w:val="center"/>
      </w:pPr>
      <w:r>
        <w:rPr>
          <w:noProof/>
          <w:lang w:val="en-US"/>
        </w:rPr>
        <w:drawing>
          <wp:inline distT="0" distB="0" distL="0" distR="0" wp14:anchorId="7B2ED46E" wp14:editId="4E9885DB">
            <wp:extent cx="6644640" cy="4483608"/>
            <wp:effectExtent l="0" t="0" r="381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ystemsPerformanceReport2015_FR_Fig8.2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644640" cy="4483608"/>
                    </a:xfrm>
                    <a:prstGeom prst="rect">
                      <a:avLst/>
                    </a:prstGeom>
                  </pic:spPr>
                </pic:pic>
              </a:graphicData>
            </a:graphic>
          </wp:inline>
        </w:drawing>
      </w:r>
    </w:p>
    <w:p w14:paraId="634DF03B" w14:textId="77777777" w:rsidR="006B5D30" w:rsidRDefault="006B5D30" w:rsidP="006B5D30">
      <w:pPr>
        <w:jc w:val="center"/>
      </w:pPr>
      <w:r>
        <w:br w:type="page"/>
      </w:r>
    </w:p>
    <w:p w14:paraId="4005F521" w14:textId="77777777" w:rsidR="006B5D30" w:rsidRPr="00113C3A" w:rsidRDefault="006B5D30" w:rsidP="006B5D30">
      <w:pPr>
        <w:pStyle w:val="Heading1"/>
        <w:rPr>
          <w:rFonts w:eastAsia="Times New Roman"/>
          <w:lang w:val="fr-CA" w:eastAsia="en-CA"/>
        </w:rPr>
      </w:pPr>
      <w:bookmarkStart w:id="68" w:name="_Toc437589707"/>
      <w:r w:rsidRPr="00113C3A">
        <w:rPr>
          <w:lang w:val="fr-CA"/>
        </w:rPr>
        <w:lastRenderedPageBreak/>
        <w:t xml:space="preserve">Figure 8.26 </w:t>
      </w:r>
      <w:r w:rsidRPr="00113C3A">
        <w:rPr>
          <w:rFonts w:eastAsia="Times New Roman"/>
          <w:lang w:val="fr-CA" w:eastAsia="en-CA"/>
        </w:rPr>
        <w:t>Ratio de survie relative à cinq ans normalisé selon l’âge</w:t>
      </w:r>
      <w:r w:rsidRPr="00113C3A">
        <w:rPr>
          <w:rFonts w:eastAsia="Times New Roman"/>
          <w:vertAlign w:val="superscript"/>
          <w:lang w:val="fr-CA" w:eastAsia="en-CA"/>
        </w:rPr>
        <w:t xml:space="preserve">† </w:t>
      </w:r>
      <w:r w:rsidRPr="00113C3A">
        <w:rPr>
          <w:rFonts w:eastAsia="Times New Roman"/>
          <w:lang w:val="fr-CA" w:eastAsia="en-CA"/>
        </w:rPr>
        <w:t>des cas de cancer du pancréas selon la province – de 2005 à 2007 combinés</w:t>
      </w:r>
      <w:bookmarkEnd w:id="68"/>
    </w:p>
    <w:p w14:paraId="3F99C9D5" w14:textId="77777777" w:rsidR="006B5D30" w:rsidRDefault="006B5D30" w:rsidP="006B5D30">
      <w:pPr>
        <w:jc w:val="center"/>
      </w:pPr>
      <w:r>
        <w:rPr>
          <w:noProof/>
          <w:lang w:val="en-US"/>
        </w:rPr>
        <w:drawing>
          <wp:inline distT="0" distB="0" distL="0" distR="0" wp14:anchorId="4C54132D" wp14:editId="50707F69">
            <wp:extent cx="6644640" cy="4078224"/>
            <wp:effectExtent l="0" t="0" r="381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ystemsPerformanceReport2015_FR_Fig8.2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644640" cy="4078224"/>
                    </a:xfrm>
                    <a:prstGeom prst="rect">
                      <a:avLst/>
                    </a:prstGeom>
                  </pic:spPr>
                </pic:pic>
              </a:graphicData>
            </a:graphic>
          </wp:inline>
        </w:drawing>
      </w:r>
    </w:p>
    <w:p w14:paraId="09E0B7DD" w14:textId="77777777" w:rsidR="006B5D30" w:rsidRDefault="006B5D30" w:rsidP="006B5D30">
      <w:pPr>
        <w:jc w:val="center"/>
      </w:pPr>
      <w:r>
        <w:br w:type="page"/>
      </w:r>
    </w:p>
    <w:p w14:paraId="0CFA57B4" w14:textId="77777777" w:rsidR="006B5D30" w:rsidRPr="00113C3A" w:rsidRDefault="006B5D30" w:rsidP="006B5D30">
      <w:pPr>
        <w:pStyle w:val="Heading1"/>
        <w:rPr>
          <w:rFonts w:eastAsia="Times New Roman"/>
          <w:lang w:val="fr-CA" w:eastAsia="en-CA"/>
        </w:rPr>
      </w:pPr>
      <w:bookmarkStart w:id="69" w:name="_Toc437589708"/>
      <w:r w:rsidRPr="00113C3A">
        <w:rPr>
          <w:lang w:val="fr-CA"/>
        </w:rPr>
        <w:lastRenderedPageBreak/>
        <w:t xml:space="preserve">Figure 8.27 </w:t>
      </w:r>
      <w:r w:rsidRPr="00113C3A">
        <w:rPr>
          <w:rFonts w:eastAsia="Times New Roman"/>
          <w:lang w:val="fr-CA" w:eastAsia="en-CA"/>
        </w:rPr>
        <w:t>Ratio de survie relative à cinq ans normalisé selon l’âge</w:t>
      </w:r>
      <w:r w:rsidRPr="00113C3A">
        <w:rPr>
          <w:rFonts w:eastAsia="Times New Roman"/>
          <w:vertAlign w:val="superscript"/>
          <w:lang w:val="fr-CA" w:eastAsia="en-CA"/>
        </w:rPr>
        <w:t xml:space="preserve">††  </w:t>
      </w:r>
      <w:r w:rsidRPr="00113C3A">
        <w:rPr>
          <w:rFonts w:eastAsia="Times New Roman"/>
          <w:lang w:val="fr-CA" w:eastAsia="en-CA"/>
        </w:rPr>
        <w:t>des cas de cancer du pancréas, Canada</w:t>
      </w:r>
      <w:r w:rsidRPr="00113C3A">
        <w:rPr>
          <w:rFonts w:eastAsia="Times New Roman"/>
          <w:vertAlign w:val="superscript"/>
          <w:lang w:val="fr-CA" w:eastAsia="en-CA"/>
        </w:rPr>
        <w:t xml:space="preserve">† </w:t>
      </w:r>
      <w:r w:rsidRPr="00113C3A">
        <w:rPr>
          <w:rFonts w:eastAsia="Times New Roman"/>
          <w:lang w:val="fr-CA" w:eastAsia="en-CA"/>
        </w:rPr>
        <w:t xml:space="preserve"> – de 1992 à 1994  combinés et de 2006 à 2008 combinés</w:t>
      </w:r>
      <w:bookmarkEnd w:id="69"/>
    </w:p>
    <w:p w14:paraId="7B0353A0" w14:textId="77777777" w:rsidR="006B5D30" w:rsidRDefault="006B5D30" w:rsidP="006B5D30">
      <w:pPr>
        <w:jc w:val="center"/>
      </w:pPr>
      <w:r>
        <w:rPr>
          <w:noProof/>
          <w:lang w:val="en-US"/>
        </w:rPr>
        <w:drawing>
          <wp:inline distT="0" distB="0" distL="0" distR="0" wp14:anchorId="06D4C5BA" wp14:editId="2BB2173C">
            <wp:extent cx="4547616" cy="4663440"/>
            <wp:effectExtent l="0" t="0" r="5715"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ystemsPerformanceReport2015_FR_Fig8.2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547616" cy="4663440"/>
                    </a:xfrm>
                    <a:prstGeom prst="rect">
                      <a:avLst/>
                    </a:prstGeom>
                  </pic:spPr>
                </pic:pic>
              </a:graphicData>
            </a:graphic>
          </wp:inline>
        </w:drawing>
      </w:r>
    </w:p>
    <w:p w14:paraId="49AC2D04" w14:textId="77777777" w:rsidR="006B5D30" w:rsidRDefault="006B5D30" w:rsidP="006B5D30">
      <w:pPr>
        <w:jc w:val="center"/>
        <w:sectPr w:rsidR="006B5D30" w:rsidSect="003176AC">
          <w:pgSz w:w="15840" w:h="12240" w:orient="landscape"/>
          <w:pgMar w:top="1440" w:right="1440" w:bottom="1440" w:left="1440" w:header="708" w:footer="708" w:gutter="0"/>
          <w:cols w:space="708"/>
          <w:docGrid w:linePitch="360"/>
        </w:sectPr>
      </w:pPr>
      <w:r>
        <w:br w:type="page"/>
      </w:r>
    </w:p>
    <w:p w14:paraId="6D47D116" w14:textId="77777777" w:rsidR="006B5D30" w:rsidRPr="00C27F78" w:rsidRDefault="006B5D30" w:rsidP="006B5D30">
      <w:pPr>
        <w:pStyle w:val="Heading1"/>
        <w:rPr>
          <w:rFonts w:eastAsia="Times New Roman"/>
          <w:lang w:val="fr-CA" w:eastAsia="en-CA"/>
        </w:rPr>
      </w:pPr>
      <w:bookmarkStart w:id="70" w:name="_Toc437589709"/>
      <w:r w:rsidRPr="00C27F78">
        <w:rPr>
          <w:lang w:val="fr-CA"/>
        </w:rPr>
        <w:lastRenderedPageBreak/>
        <w:t xml:space="preserve">Tableau 1.1 </w:t>
      </w:r>
      <w:r w:rsidRPr="00C27F78">
        <w:rPr>
          <w:rFonts w:eastAsia="Times New Roman"/>
          <w:lang w:val="fr-CA" w:eastAsia="en-CA"/>
        </w:rPr>
        <w:t>Mise en œuvre et utilisation des programmes organisés d'immunisation contre le virus du papillome humain VPH destinés aux filles, selon la province ou le territoire</w:t>
      </w:r>
      <w:bookmarkEnd w:id="70"/>
    </w:p>
    <w:p w14:paraId="772D22A3" w14:textId="77777777" w:rsidR="006B5D30" w:rsidRPr="00C27F78" w:rsidRDefault="006B5D30" w:rsidP="006B5D30">
      <w:pPr>
        <w:jc w:val="center"/>
        <w:rPr>
          <w:lang w:val="fr-CA"/>
        </w:rPr>
      </w:pPr>
      <w:r>
        <w:rPr>
          <w:noProof/>
          <w:lang w:val="en-US"/>
        </w:rPr>
        <w:drawing>
          <wp:inline distT="0" distB="0" distL="0" distR="0" wp14:anchorId="6A322825" wp14:editId="213AFAFF">
            <wp:extent cx="5943600" cy="5477510"/>
            <wp:effectExtent l="0" t="0" r="0"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ystemsPerformanceReport2015_Tableau1.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5477510"/>
                    </a:xfrm>
                    <a:prstGeom prst="rect">
                      <a:avLst/>
                    </a:prstGeom>
                  </pic:spPr>
                </pic:pic>
              </a:graphicData>
            </a:graphic>
          </wp:inline>
        </w:drawing>
      </w:r>
    </w:p>
    <w:p w14:paraId="1996CBEA" w14:textId="77777777" w:rsidR="006B5D30" w:rsidRPr="00C27F78" w:rsidRDefault="006B5D30" w:rsidP="006B5D30">
      <w:pPr>
        <w:jc w:val="center"/>
        <w:rPr>
          <w:lang w:val="fr-CA"/>
        </w:rPr>
      </w:pPr>
      <w:r w:rsidRPr="00C27F78">
        <w:rPr>
          <w:lang w:val="fr-CA"/>
        </w:rPr>
        <w:br w:type="page"/>
      </w:r>
    </w:p>
    <w:p w14:paraId="49199DDC" w14:textId="77777777" w:rsidR="006B5D30" w:rsidRPr="00B33340" w:rsidRDefault="006B5D30" w:rsidP="006B5D30">
      <w:pPr>
        <w:pStyle w:val="Heading1"/>
        <w:rPr>
          <w:rFonts w:eastAsia="Times New Roman"/>
          <w:lang w:val="fr-CA" w:eastAsia="en-CA"/>
        </w:rPr>
      </w:pPr>
      <w:bookmarkStart w:id="71" w:name="_Toc437589710"/>
      <w:r w:rsidRPr="00B33340">
        <w:rPr>
          <w:lang w:val="fr-CA"/>
        </w:rPr>
        <w:lastRenderedPageBreak/>
        <w:t xml:space="preserve">Tableau 4.1 </w:t>
      </w:r>
      <w:r w:rsidRPr="00B33340">
        <w:rPr>
          <w:rFonts w:eastAsia="Times New Roman"/>
          <w:lang w:val="fr-CA" w:eastAsia="en-CA"/>
        </w:rPr>
        <w:t>Pourcentage des patients traités en radiothérapie à l'intérieur du délai cible, pour les quatre types de cancers les plus fréquents et tous les cancers, selon la province – traitement suivi en 2013</w:t>
      </w:r>
      <w:bookmarkEnd w:id="71"/>
      <w:r w:rsidRPr="00B33340">
        <w:rPr>
          <w:rFonts w:eastAsia="Times New Roman"/>
          <w:lang w:val="fr-CA" w:eastAsia="en-CA"/>
        </w:rPr>
        <w:t xml:space="preserve"> </w:t>
      </w:r>
    </w:p>
    <w:p w14:paraId="76C9D031" w14:textId="77777777" w:rsidR="006B5D30" w:rsidRDefault="006B5D30" w:rsidP="006B5D30">
      <w:pPr>
        <w:jc w:val="center"/>
      </w:pPr>
      <w:r>
        <w:rPr>
          <w:noProof/>
          <w:lang w:val="en-US"/>
        </w:rPr>
        <w:drawing>
          <wp:inline distT="0" distB="0" distL="0" distR="0" wp14:anchorId="6EBBBD29" wp14:editId="3354B466">
            <wp:extent cx="5565648" cy="5425440"/>
            <wp:effectExtent l="0" t="0" r="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ystemsPerformanceReport2015_Tableau4.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565648" cy="5425440"/>
                    </a:xfrm>
                    <a:prstGeom prst="rect">
                      <a:avLst/>
                    </a:prstGeom>
                  </pic:spPr>
                </pic:pic>
              </a:graphicData>
            </a:graphic>
          </wp:inline>
        </w:drawing>
      </w:r>
    </w:p>
    <w:p w14:paraId="3744EEBF" w14:textId="77777777" w:rsidR="006B5D30" w:rsidRDefault="006B5D30" w:rsidP="006B5D30">
      <w:pPr>
        <w:jc w:val="center"/>
      </w:pPr>
      <w:r>
        <w:br w:type="page"/>
      </w:r>
    </w:p>
    <w:p w14:paraId="6A87F478" w14:textId="77777777" w:rsidR="006B5D30" w:rsidRPr="00BF3E6A" w:rsidRDefault="006B5D30" w:rsidP="006B5D30">
      <w:pPr>
        <w:pStyle w:val="Heading1"/>
        <w:rPr>
          <w:rFonts w:eastAsia="Times New Roman"/>
          <w:lang w:val="fr-CA" w:eastAsia="en-CA"/>
        </w:rPr>
      </w:pPr>
      <w:bookmarkStart w:id="72" w:name="_Toc437589711"/>
      <w:r w:rsidRPr="00BF3E6A">
        <w:rPr>
          <w:lang w:val="fr-CA"/>
        </w:rPr>
        <w:lastRenderedPageBreak/>
        <w:t xml:space="preserve">Tableau 5.1 </w:t>
      </w:r>
      <w:r w:rsidRPr="00BF3E6A">
        <w:rPr>
          <w:rFonts w:eastAsia="Times New Roman"/>
          <w:lang w:val="fr-CA" w:eastAsia="en-CA"/>
        </w:rPr>
        <w:t>Étendue de l’utilisation d’outils normalisés de dépistage de la détresse dans les cliniques des organismes et programmes provinciaux de lutte contre le cancer - 2014</w:t>
      </w:r>
      <w:bookmarkEnd w:id="72"/>
    </w:p>
    <w:p w14:paraId="7CBA8CB0" w14:textId="77777777" w:rsidR="006B5D30" w:rsidRDefault="006B5D30" w:rsidP="006B5D30">
      <w:pPr>
        <w:jc w:val="center"/>
      </w:pPr>
      <w:r>
        <w:rPr>
          <w:noProof/>
          <w:lang w:val="en-US"/>
        </w:rPr>
        <w:drawing>
          <wp:inline distT="0" distB="0" distL="0" distR="0" wp14:anchorId="5399731D" wp14:editId="40E1F301">
            <wp:extent cx="5943600" cy="53721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ystemsPerformanceReport2015_Tableau5.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5372100"/>
                    </a:xfrm>
                    <a:prstGeom prst="rect">
                      <a:avLst/>
                    </a:prstGeom>
                  </pic:spPr>
                </pic:pic>
              </a:graphicData>
            </a:graphic>
          </wp:inline>
        </w:drawing>
      </w:r>
    </w:p>
    <w:p w14:paraId="1BB427C3" w14:textId="77777777" w:rsidR="006B5D30" w:rsidRDefault="006B5D30" w:rsidP="006B5D30">
      <w:pPr>
        <w:jc w:val="center"/>
      </w:pPr>
      <w:r>
        <w:br w:type="page"/>
      </w:r>
    </w:p>
    <w:p w14:paraId="69662600" w14:textId="77777777" w:rsidR="006B5D30" w:rsidRPr="00113C3A" w:rsidRDefault="006B5D30" w:rsidP="006B5D30">
      <w:pPr>
        <w:pStyle w:val="Heading1"/>
        <w:rPr>
          <w:rFonts w:eastAsia="Times New Roman"/>
          <w:lang w:val="fr-CA" w:eastAsia="en-CA"/>
        </w:rPr>
      </w:pPr>
      <w:bookmarkStart w:id="73" w:name="_Toc437589712"/>
      <w:r w:rsidRPr="00113C3A">
        <w:rPr>
          <w:lang w:val="fr-CA"/>
        </w:rPr>
        <w:lastRenderedPageBreak/>
        <w:t xml:space="preserve">Tableau 8.1 </w:t>
      </w:r>
      <w:r w:rsidRPr="00113C3A">
        <w:rPr>
          <w:rFonts w:eastAsia="Times New Roman"/>
          <w:lang w:val="fr-CA" w:eastAsia="en-CA"/>
        </w:rPr>
        <w:t>Pourcentage des cas dont le stade est inconnu</w:t>
      </w:r>
      <w:r w:rsidRPr="00113C3A">
        <w:rPr>
          <w:rFonts w:eastAsia="Times New Roman"/>
          <w:lang w:eastAsia="en-CA"/>
        </w:rPr>
        <w:t>ᶧ</w:t>
      </w:r>
      <w:r w:rsidRPr="00113C3A">
        <w:rPr>
          <w:rFonts w:eastAsia="Times New Roman"/>
          <w:lang w:val="fr-CA" w:eastAsia="en-CA"/>
        </w:rPr>
        <w:t>, selon le siège de la maladie et la province - de 2010 à 2012</w:t>
      </w:r>
      <w:bookmarkEnd w:id="73"/>
    </w:p>
    <w:p w14:paraId="0ECCB6C1" w14:textId="77777777" w:rsidR="006B5D30" w:rsidRDefault="006B5D30" w:rsidP="006B5D30">
      <w:pPr>
        <w:jc w:val="center"/>
      </w:pPr>
      <w:r>
        <w:rPr>
          <w:noProof/>
          <w:lang w:val="en-US"/>
        </w:rPr>
        <w:drawing>
          <wp:inline distT="0" distB="0" distL="0" distR="0" wp14:anchorId="3734548A" wp14:editId="6D9C108A">
            <wp:extent cx="5565648" cy="71018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ystemsPerformanceReport2015_Tableau8.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565648" cy="7101840"/>
                    </a:xfrm>
                    <a:prstGeom prst="rect">
                      <a:avLst/>
                    </a:prstGeom>
                  </pic:spPr>
                </pic:pic>
              </a:graphicData>
            </a:graphic>
          </wp:inline>
        </w:drawing>
      </w:r>
    </w:p>
    <w:p w14:paraId="5E8BBB0A" w14:textId="77777777" w:rsidR="006B5D30" w:rsidRDefault="006B5D30" w:rsidP="006B5D30">
      <w:pPr>
        <w:pStyle w:val="Heading1"/>
      </w:pPr>
    </w:p>
    <w:sectPr w:rsidR="006B5D30" w:rsidSect="00C27F78">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97D731E"/>
    <w:multiLevelType w:val="hybridMultilevel"/>
    <w:tmpl w:val="4C689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7F78"/>
    <w:rsid w:val="000016D2"/>
    <w:rsid w:val="000A67D3"/>
    <w:rsid w:val="00113C3A"/>
    <w:rsid w:val="001D270D"/>
    <w:rsid w:val="00203669"/>
    <w:rsid w:val="003176AC"/>
    <w:rsid w:val="00335137"/>
    <w:rsid w:val="003C4C8E"/>
    <w:rsid w:val="003F680D"/>
    <w:rsid w:val="00484E19"/>
    <w:rsid w:val="004A233B"/>
    <w:rsid w:val="004C3A14"/>
    <w:rsid w:val="004E2109"/>
    <w:rsid w:val="006B5D30"/>
    <w:rsid w:val="00704040"/>
    <w:rsid w:val="00943EB6"/>
    <w:rsid w:val="00974C76"/>
    <w:rsid w:val="00A21209"/>
    <w:rsid w:val="00B33340"/>
    <w:rsid w:val="00BF3E6A"/>
    <w:rsid w:val="00C27F78"/>
    <w:rsid w:val="00E6422E"/>
    <w:rsid w:val="00EE4352"/>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BF03C9"/>
  <w15:docId w15:val="{ADF41F81-C1C9-42A9-9D61-BC40BCF60F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4E19"/>
  </w:style>
  <w:style w:type="paragraph" w:styleId="Heading1">
    <w:name w:val="heading 1"/>
    <w:basedOn w:val="Normal"/>
    <w:next w:val="Normal"/>
    <w:link w:val="Heading1Char"/>
    <w:uiPriority w:val="9"/>
    <w:qFormat/>
    <w:rsid w:val="00C27F78"/>
    <w:pPr>
      <w:keepNext/>
      <w:keepLines/>
      <w:spacing w:before="240" w:after="0"/>
      <w:outlineLvl w:val="0"/>
    </w:pPr>
    <w:rPr>
      <w:rFonts w:eastAsiaTheme="majorEastAsia" w:cstheme="majorBidi"/>
      <w:sz w:val="32"/>
      <w:szCs w:val="32"/>
    </w:rPr>
  </w:style>
  <w:style w:type="paragraph" w:styleId="Heading2">
    <w:name w:val="heading 2"/>
    <w:basedOn w:val="Normal"/>
    <w:next w:val="Normal"/>
    <w:link w:val="Heading2Char"/>
    <w:uiPriority w:val="9"/>
    <w:semiHidden/>
    <w:unhideWhenUsed/>
    <w:qFormat/>
    <w:rsid w:val="00A2120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27F78"/>
    <w:rPr>
      <w:rFonts w:eastAsiaTheme="majorEastAsia" w:cstheme="majorBidi"/>
      <w:sz w:val="32"/>
      <w:szCs w:val="32"/>
    </w:rPr>
  </w:style>
  <w:style w:type="paragraph" w:styleId="NoSpacing">
    <w:name w:val="No Spacing"/>
    <w:uiPriority w:val="1"/>
    <w:qFormat/>
    <w:rsid w:val="00B33340"/>
    <w:pPr>
      <w:spacing w:after="0" w:line="240" w:lineRule="auto"/>
    </w:pPr>
  </w:style>
  <w:style w:type="paragraph" w:styleId="TableofFigures">
    <w:name w:val="table of figures"/>
    <w:basedOn w:val="Normal"/>
    <w:next w:val="Normal"/>
    <w:uiPriority w:val="99"/>
    <w:unhideWhenUsed/>
    <w:rsid w:val="00113C3A"/>
    <w:pPr>
      <w:spacing w:after="0"/>
      <w:ind w:left="440" w:hanging="440"/>
    </w:pPr>
    <w:rPr>
      <w:b/>
      <w:bCs/>
      <w:sz w:val="20"/>
      <w:szCs w:val="20"/>
    </w:rPr>
  </w:style>
  <w:style w:type="character" w:styleId="Hyperlink">
    <w:name w:val="Hyperlink"/>
    <w:basedOn w:val="DefaultParagraphFont"/>
    <w:uiPriority w:val="99"/>
    <w:unhideWhenUsed/>
    <w:rsid w:val="00113C3A"/>
    <w:rPr>
      <w:color w:val="0563C1" w:themeColor="hyperlink"/>
      <w:u w:val="single"/>
    </w:rPr>
  </w:style>
  <w:style w:type="paragraph" w:styleId="BalloonText">
    <w:name w:val="Balloon Text"/>
    <w:basedOn w:val="Normal"/>
    <w:link w:val="BalloonTextChar"/>
    <w:uiPriority w:val="99"/>
    <w:semiHidden/>
    <w:unhideWhenUsed/>
    <w:rsid w:val="00974C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4C76"/>
    <w:rPr>
      <w:rFonts w:ascii="Tahoma" w:hAnsi="Tahoma" w:cs="Tahoma"/>
      <w:sz w:val="16"/>
      <w:szCs w:val="16"/>
    </w:rPr>
  </w:style>
  <w:style w:type="character" w:customStyle="1" w:styleId="Heading2Char">
    <w:name w:val="Heading 2 Char"/>
    <w:basedOn w:val="DefaultParagraphFont"/>
    <w:link w:val="Heading2"/>
    <w:uiPriority w:val="9"/>
    <w:semiHidden/>
    <w:rsid w:val="00A21209"/>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A212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397330">
      <w:bodyDiv w:val="1"/>
      <w:marLeft w:val="0"/>
      <w:marRight w:val="0"/>
      <w:marTop w:val="0"/>
      <w:marBottom w:val="0"/>
      <w:divBdr>
        <w:top w:val="none" w:sz="0" w:space="0" w:color="auto"/>
        <w:left w:val="none" w:sz="0" w:space="0" w:color="auto"/>
        <w:bottom w:val="none" w:sz="0" w:space="0" w:color="auto"/>
        <w:right w:val="none" w:sz="0" w:space="0" w:color="auto"/>
      </w:divBdr>
    </w:div>
    <w:div w:id="41485538">
      <w:bodyDiv w:val="1"/>
      <w:marLeft w:val="0"/>
      <w:marRight w:val="0"/>
      <w:marTop w:val="0"/>
      <w:marBottom w:val="0"/>
      <w:divBdr>
        <w:top w:val="none" w:sz="0" w:space="0" w:color="auto"/>
        <w:left w:val="none" w:sz="0" w:space="0" w:color="auto"/>
        <w:bottom w:val="none" w:sz="0" w:space="0" w:color="auto"/>
        <w:right w:val="none" w:sz="0" w:space="0" w:color="auto"/>
      </w:divBdr>
    </w:div>
    <w:div w:id="50155146">
      <w:bodyDiv w:val="1"/>
      <w:marLeft w:val="0"/>
      <w:marRight w:val="0"/>
      <w:marTop w:val="0"/>
      <w:marBottom w:val="0"/>
      <w:divBdr>
        <w:top w:val="none" w:sz="0" w:space="0" w:color="auto"/>
        <w:left w:val="none" w:sz="0" w:space="0" w:color="auto"/>
        <w:bottom w:val="none" w:sz="0" w:space="0" w:color="auto"/>
        <w:right w:val="none" w:sz="0" w:space="0" w:color="auto"/>
      </w:divBdr>
    </w:div>
    <w:div w:id="58132944">
      <w:bodyDiv w:val="1"/>
      <w:marLeft w:val="0"/>
      <w:marRight w:val="0"/>
      <w:marTop w:val="0"/>
      <w:marBottom w:val="0"/>
      <w:divBdr>
        <w:top w:val="none" w:sz="0" w:space="0" w:color="auto"/>
        <w:left w:val="none" w:sz="0" w:space="0" w:color="auto"/>
        <w:bottom w:val="none" w:sz="0" w:space="0" w:color="auto"/>
        <w:right w:val="none" w:sz="0" w:space="0" w:color="auto"/>
      </w:divBdr>
    </w:div>
    <w:div w:id="91751087">
      <w:bodyDiv w:val="1"/>
      <w:marLeft w:val="0"/>
      <w:marRight w:val="0"/>
      <w:marTop w:val="0"/>
      <w:marBottom w:val="0"/>
      <w:divBdr>
        <w:top w:val="none" w:sz="0" w:space="0" w:color="auto"/>
        <w:left w:val="none" w:sz="0" w:space="0" w:color="auto"/>
        <w:bottom w:val="none" w:sz="0" w:space="0" w:color="auto"/>
        <w:right w:val="none" w:sz="0" w:space="0" w:color="auto"/>
      </w:divBdr>
    </w:div>
    <w:div w:id="157426873">
      <w:bodyDiv w:val="1"/>
      <w:marLeft w:val="0"/>
      <w:marRight w:val="0"/>
      <w:marTop w:val="0"/>
      <w:marBottom w:val="0"/>
      <w:divBdr>
        <w:top w:val="none" w:sz="0" w:space="0" w:color="auto"/>
        <w:left w:val="none" w:sz="0" w:space="0" w:color="auto"/>
        <w:bottom w:val="none" w:sz="0" w:space="0" w:color="auto"/>
        <w:right w:val="none" w:sz="0" w:space="0" w:color="auto"/>
      </w:divBdr>
    </w:div>
    <w:div w:id="175509334">
      <w:bodyDiv w:val="1"/>
      <w:marLeft w:val="0"/>
      <w:marRight w:val="0"/>
      <w:marTop w:val="0"/>
      <w:marBottom w:val="0"/>
      <w:divBdr>
        <w:top w:val="none" w:sz="0" w:space="0" w:color="auto"/>
        <w:left w:val="none" w:sz="0" w:space="0" w:color="auto"/>
        <w:bottom w:val="none" w:sz="0" w:space="0" w:color="auto"/>
        <w:right w:val="none" w:sz="0" w:space="0" w:color="auto"/>
      </w:divBdr>
    </w:div>
    <w:div w:id="182594299">
      <w:bodyDiv w:val="1"/>
      <w:marLeft w:val="0"/>
      <w:marRight w:val="0"/>
      <w:marTop w:val="0"/>
      <w:marBottom w:val="0"/>
      <w:divBdr>
        <w:top w:val="none" w:sz="0" w:space="0" w:color="auto"/>
        <w:left w:val="none" w:sz="0" w:space="0" w:color="auto"/>
        <w:bottom w:val="none" w:sz="0" w:space="0" w:color="auto"/>
        <w:right w:val="none" w:sz="0" w:space="0" w:color="auto"/>
      </w:divBdr>
    </w:div>
    <w:div w:id="194932510">
      <w:bodyDiv w:val="1"/>
      <w:marLeft w:val="0"/>
      <w:marRight w:val="0"/>
      <w:marTop w:val="0"/>
      <w:marBottom w:val="0"/>
      <w:divBdr>
        <w:top w:val="none" w:sz="0" w:space="0" w:color="auto"/>
        <w:left w:val="none" w:sz="0" w:space="0" w:color="auto"/>
        <w:bottom w:val="none" w:sz="0" w:space="0" w:color="auto"/>
        <w:right w:val="none" w:sz="0" w:space="0" w:color="auto"/>
      </w:divBdr>
    </w:div>
    <w:div w:id="235357089">
      <w:bodyDiv w:val="1"/>
      <w:marLeft w:val="0"/>
      <w:marRight w:val="0"/>
      <w:marTop w:val="0"/>
      <w:marBottom w:val="0"/>
      <w:divBdr>
        <w:top w:val="none" w:sz="0" w:space="0" w:color="auto"/>
        <w:left w:val="none" w:sz="0" w:space="0" w:color="auto"/>
        <w:bottom w:val="none" w:sz="0" w:space="0" w:color="auto"/>
        <w:right w:val="none" w:sz="0" w:space="0" w:color="auto"/>
      </w:divBdr>
    </w:div>
    <w:div w:id="280187871">
      <w:bodyDiv w:val="1"/>
      <w:marLeft w:val="0"/>
      <w:marRight w:val="0"/>
      <w:marTop w:val="0"/>
      <w:marBottom w:val="0"/>
      <w:divBdr>
        <w:top w:val="none" w:sz="0" w:space="0" w:color="auto"/>
        <w:left w:val="none" w:sz="0" w:space="0" w:color="auto"/>
        <w:bottom w:val="none" w:sz="0" w:space="0" w:color="auto"/>
        <w:right w:val="none" w:sz="0" w:space="0" w:color="auto"/>
      </w:divBdr>
    </w:div>
    <w:div w:id="314259852">
      <w:bodyDiv w:val="1"/>
      <w:marLeft w:val="0"/>
      <w:marRight w:val="0"/>
      <w:marTop w:val="0"/>
      <w:marBottom w:val="0"/>
      <w:divBdr>
        <w:top w:val="none" w:sz="0" w:space="0" w:color="auto"/>
        <w:left w:val="none" w:sz="0" w:space="0" w:color="auto"/>
        <w:bottom w:val="none" w:sz="0" w:space="0" w:color="auto"/>
        <w:right w:val="none" w:sz="0" w:space="0" w:color="auto"/>
      </w:divBdr>
    </w:div>
    <w:div w:id="389155479">
      <w:bodyDiv w:val="1"/>
      <w:marLeft w:val="0"/>
      <w:marRight w:val="0"/>
      <w:marTop w:val="0"/>
      <w:marBottom w:val="0"/>
      <w:divBdr>
        <w:top w:val="none" w:sz="0" w:space="0" w:color="auto"/>
        <w:left w:val="none" w:sz="0" w:space="0" w:color="auto"/>
        <w:bottom w:val="none" w:sz="0" w:space="0" w:color="auto"/>
        <w:right w:val="none" w:sz="0" w:space="0" w:color="auto"/>
      </w:divBdr>
    </w:div>
    <w:div w:id="419496221">
      <w:bodyDiv w:val="1"/>
      <w:marLeft w:val="0"/>
      <w:marRight w:val="0"/>
      <w:marTop w:val="0"/>
      <w:marBottom w:val="0"/>
      <w:divBdr>
        <w:top w:val="none" w:sz="0" w:space="0" w:color="auto"/>
        <w:left w:val="none" w:sz="0" w:space="0" w:color="auto"/>
        <w:bottom w:val="none" w:sz="0" w:space="0" w:color="auto"/>
        <w:right w:val="none" w:sz="0" w:space="0" w:color="auto"/>
      </w:divBdr>
    </w:div>
    <w:div w:id="463080534">
      <w:bodyDiv w:val="1"/>
      <w:marLeft w:val="0"/>
      <w:marRight w:val="0"/>
      <w:marTop w:val="0"/>
      <w:marBottom w:val="0"/>
      <w:divBdr>
        <w:top w:val="none" w:sz="0" w:space="0" w:color="auto"/>
        <w:left w:val="none" w:sz="0" w:space="0" w:color="auto"/>
        <w:bottom w:val="none" w:sz="0" w:space="0" w:color="auto"/>
        <w:right w:val="none" w:sz="0" w:space="0" w:color="auto"/>
      </w:divBdr>
    </w:div>
    <w:div w:id="482625374">
      <w:bodyDiv w:val="1"/>
      <w:marLeft w:val="0"/>
      <w:marRight w:val="0"/>
      <w:marTop w:val="0"/>
      <w:marBottom w:val="0"/>
      <w:divBdr>
        <w:top w:val="none" w:sz="0" w:space="0" w:color="auto"/>
        <w:left w:val="none" w:sz="0" w:space="0" w:color="auto"/>
        <w:bottom w:val="none" w:sz="0" w:space="0" w:color="auto"/>
        <w:right w:val="none" w:sz="0" w:space="0" w:color="auto"/>
      </w:divBdr>
    </w:div>
    <w:div w:id="502474778">
      <w:bodyDiv w:val="1"/>
      <w:marLeft w:val="0"/>
      <w:marRight w:val="0"/>
      <w:marTop w:val="0"/>
      <w:marBottom w:val="0"/>
      <w:divBdr>
        <w:top w:val="none" w:sz="0" w:space="0" w:color="auto"/>
        <w:left w:val="none" w:sz="0" w:space="0" w:color="auto"/>
        <w:bottom w:val="none" w:sz="0" w:space="0" w:color="auto"/>
        <w:right w:val="none" w:sz="0" w:space="0" w:color="auto"/>
      </w:divBdr>
    </w:div>
    <w:div w:id="502936789">
      <w:bodyDiv w:val="1"/>
      <w:marLeft w:val="0"/>
      <w:marRight w:val="0"/>
      <w:marTop w:val="0"/>
      <w:marBottom w:val="0"/>
      <w:divBdr>
        <w:top w:val="none" w:sz="0" w:space="0" w:color="auto"/>
        <w:left w:val="none" w:sz="0" w:space="0" w:color="auto"/>
        <w:bottom w:val="none" w:sz="0" w:space="0" w:color="auto"/>
        <w:right w:val="none" w:sz="0" w:space="0" w:color="auto"/>
      </w:divBdr>
    </w:div>
    <w:div w:id="523790711">
      <w:bodyDiv w:val="1"/>
      <w:marLeft w:val="0"/>
      <w:marRight w:val="0"/>
      <w:marTop w:val="0"/>
      <w:marBottom w:val="0"/>
      <w:divBdr>
        <w:top w:val="none" w:sz="0" w:space="0" w:color="auto"/>
        <w:left w:val="none" w:sz="0" w:space="0" w:color="auto"/>
        <w:bottom w:val="none" w:sz="0" w:space="0" w:color="auto"/>
        <w:right w:val="none" w:sz="0" w:space="0" w:color="auto"/>
      </w:divBdr>
    </w:div>
    <w:div w:id="551582627">
      <w:bodyDiv w:val="1"/>
      <w:marLeft w:val="0"/>
      <w:marRight w:val="0"/>
      <w:marTop w:val="0"/>
      <w:marBottom w:val="0"/>
      <w:divBdr>
        <w:top w:val="none" w:sz="0" w:space="0" w:color="auto"/>
        <w:left w:val="none" w:sz="0" w:space="0" w:color="auto"/>
        <w:bottom w:val="none" w:sz="0" w:space="0" w:color="auto"/>
        <w:right w:val="none" w:sz="0" w:space="0" w:color="auto"/>
      </w:divBdr>
    </w:div>
    <w:div w:id="600799299">
      <w:bodyDiv w:val="1"/>
      <w:marLeft w:val="0"/>
      <w:marRight w:val="0"/>
      <w:marTop w:val="0"/>
      <w:marBottom w:val="0"/>
      <w:divBdr>
        <w:top w:val="none" w:sz="0" w:space="0" w:color="auto"/>
        <w:left w:val="none" w:sz="0" w:space="0" w:color="auto"/>
        <w:bottom w:val="none" w:sz="0" w:space="0" w:color="auto"/>
        <w:right w:val="none" w:sz="0" w:space="0" w:color="auto"/>
      </w:divBdr>
    </w:div>
    <w:div w:id="617839403">
      <w:bodyDiv w:val="1"/>
      <w:marLeft w:val="0"/>
      <w:marRight w:val="0"/>
      <w:marTop w:val="0"/>
      <w:marBottom w:val="0"/>
      <w:divBdr>
        <w:top w:val="none" w:sz="0" w:space="0" w:color="auto"/>
        <w:left w:val="none" w:sz="0" w:space="0" w:color="auto"/>
        <w:bottom w:val="none" w:sz="0" w:space="0" w:color="auto"/>
        <w:right w:val="none" w:sz="0" w:space="0" w:color="auto"/>
      </w:divBdr>
    </w:div>
    <w:div w:id="645085452">
      <w:bodyDiv w:val="1"/>
      <w:marLeft w:val="0"/>
      <w:marRight w:val="0"/>
      <w:marTop w:val="0"/>
      <w:marBottom w:val="0"/>
      <w:divBdr>
        <w:top w:val="none" w:sz="0" w:space="0" w:color="auto"/>
        <w:left w:val="none" w:sz="0" w:space="0" w:color="auto"/>
        <w:bottom w:val="none" w:sz="0" w:space="0" w:color="auto"/>
        <w:right w:val="none" w:sz="0" w:space="0" w:color="auto"/>
      </w:divBdr>
    </w:div>
    <w:div w:id="675695520">
      <w:bodyDiv w:val="1"/>
      <w:marLeft w:val="0"/>
      <w:marRight w:val="0"/>
      <w:marTop w:val="0"/>
      <w:marBottom w:val="0"/>
      <w:divBdr>
        <w:top w:val="none" w:sz="0" w:space="0" w:color="auto"/>
        <w:left w:val="none" w:sz="0" w:space="0" w:color="auto"/>
        <w:bottom w:val="none" w:sz="0" w:space="0" w:color="auto"/>
        <w:right w:val="none" w:sz="0" w:space="0" w:color="auto"/>
      </w:divBdr>
    </w:div>
    <w:div w:id="721833824">
      <w:bodyDiv w:val="1"/>
      <w:marLeft w:val="0"/>
      <w:marRight w:val="0"/>
      <w:marTop w:val="0"/>
      <w:marBottom w:val="0"/>
      <w:divBdr>
        <w:top w:val="none" w:sz="0" w:space="0" w:color="auto"/>
        <w:left w:val="none" w:sz="0" w:space="0" w:color="auto"/>
        <w:bottom w:val="none" w:sz="0" w:space="0" w:color="auto"/>
        <w:right w:val="none" w:sz="0" w:space="0" w:color="auto"/>
      </w:divBdr>
    </w:div>
    <w:div w:id="738790337">
      <w:bodyDiv w:val="1"/>
      <w:marLeft w:val="0"/>
      <w:marRight w:val="0"/>
      <w:marTop w:val="0"/>
      <w:marBottom w:val="0"/>
      <w:divBdr>
        <w:top w:val="none" w:sz="0" w:space="0" w:color="auto"/>
        <w:left w:val="none" w:sz="0" w:space="0" w:color="auto"/>
        <w:bottom w:val="none" w:sz="0" w:space="0" w:color="auto"/>
        <w:right w:val="none" w:sz="0" w:space="0" w:color="auto"/>
      </w:divBdr>
    </w:div>
    <w:div w:id="784541811">
      <w:bodyDiv w:val="1"/>
      <w:marLeft w:val="0"/>
      <w:marRight w:val="0"/>
      <w:marTop w:val="0"/>
      <w:marBottom w:val="0"/>
      <w:divBdr>
        <w:top w:val="none" w:sz="0" w:space="0" w:color="auto"/>
        <w:left w:val="none" w:sz="0" w:space="0" w:color="auto"/>
        <w:bottom w:val="none" w:sz="0" w:space="0" w:color="auto"/>
        <w:right w:val="none" w:sz="0" w:space="0" w:color="auto"/>
      </w:divBdr>
    </w:div>
    <w:div w:id="789324511">
      <w:bodyDiv w:val="1"/>
      <w:marLeft w:val="0"/>
      <w:marRight w:val="0"/>
      <w:marTop w:val="0"/>
      <w:marBottom w:val="0"/>
      <w:divBdr>
        <w:top w:val="none" w:sz="0" w:space="0" w:color="auto"/>
        <w:left w:val="none" w:sz="0" w:space="0" w:color="auto"/>
        <w:bottom w:val="none" w:sz="0" w:space="0" w:color="auto"/>
        <w:right w:val="none" w:sz="0" w:space="0" w:color="auto"/>
      </w:divBdr>
    </w:div>
    <w:div w:id="807011477">
      <w:bodyDiv w:val="1"/>
      <w:marLeft w:val="0"/>
      <w:marRight w:val="0"/>
      <w:marTop w:val="0"/>
      <w:marBottom w:val="0"/>
      <w:divBdr>
        <w:top w:val="none" w:sz="0" w:space="0" w:color="auto"/>
        <w:left w:val="none" w:sz="0" w:space="0" w:color="auto"/>
        <w:bottom w:val="none" w:sz="0" w:space="0" w:color="auto"/>
        <w:right w:val="none" w:sz="0" w:space="0" w:color="auto"/>
      </w:divBdr>
    </w:div>
    <w:div w:id="885794915">
      <w:bodyDiv w:val="1"/>
      <w:marLeft w:val="0"/>
      <w:marRight w:val="0"/>
      <w:marTop w:val="0"/>
      <w:marBottom w:val="0"/>
      <w:divBdr>
        <w:top w:val="none" w:sz="0" w:space="0" w:color="auto"/>
        <w:left w:val="none" w:sz="0" w:space="0" w:color="auto"/>
        <w:bottom w:val="none" w:sz="0" w:space="0" w:color="auto"/>
        <w:right w:val="none" w:sz="0" w:space="0" w:color="auto"/>
      </w:divBdr>
    </w:div>
    <w:div w:id="888372649">
      <w:bodyDiv w:val="1"/>
      <w:marLeft w:val="0"/>
      <w:marRight w:val="0"/>
      <w:marTop w:val="0"/>
      <w:marBottom w:val="0"/>
      <w:divBdr>
        <w:top w:val="none" w:sz="0" w:space="0" w:color="auto"/>
        <w:left w:val="none" w:sz="0" w:space="0" w:color="auto"/>
        <w:bottom w:val="none" w:sz="0" w:space="0" w:color="auto"/>
        <w:right w:val="none" w:sz="0" w:space="0" w:color="auto"/>
      </w:divBdr>
    </w:div>
    <w:div w:id="925919762">
      <w:bodyDiv w:val="1"/>
      <w:marLeft w:val="0"/>
      <w:marRight w:val="0"/>
      <w:marTop w:val="0"/>
      <w:marBottom w:val="0"/>
      <w:divBdr>
        <w:top w:val="none" w:sz="0" w:space="0" w:color="auto"/>
        <w:left w:val="none" w:sz="0" w:space="0" w:color="auto"/>
        <w:bottom w:val="none" w:sz="0" w:space="0" w:color="auto"/>
        <w:right w:val="none" w:sz="0" w:space="0" w:color="auto"/>
      </w:divBdr>
    </w:div>
    <w:div w:id="926691891">
      <w:bodyDiv w:val="1"/>
      <w:marLeft w:val="0"/>
      <w:marRight w:val="0"/>
      <w:marTop w:val="0"/>
      <w:marBottom w:val="0"/>
      <w:divBdr>
        <w:top w:val="none" w:sz="0" w:space="0" w:color="auto"/>
        <w:left w:val="none" w:sz="0" w:space="0" w:color="auto"/>
        <w:bottom w:val="none" w:sz="0" w:space="0" w:color="auto"/>
        <w:right w:val="none" w:sz="0" w:space="0" w:color="auto"/>
      </w:divBdr>
    </w:div>
    <w:div w:id="928273628">
      <w:bodyDiv w:val="1"/>
      <w:marLeft w:val="0"/>
      <w:marRight w:val="0"/>
      <w:marTop w:val="0"/>
      <w:marBottom w:val="0"/>
      <w:divBdr>
        <w:top w:val="none" w:sz="0" w:space="0" w:color="auto"/>
        <w:left w:val="none" w:sz="0" w:space="0" w:color="auto"/>
        <w:bottom w:val="none" w:sz="0" w:space="0" w:color="auto"/>
        <w:right w:val="none" w:sz="0" w:space="0" w:color="auto"/>
      </w:divBdr>
    </w:div>
    <w:div w:id="989863974">
      <w:bodyDiv w:val="1"/>
      <w:marLeft w:val="0"/>
      <w:marRight w:val="0"/>
      <w:marTop w:val="0"/>
      <w:marBottom w:val="0"/>
      <w:divBdr>
        <w:top w:val="none" w:sz="0" w:space="0" w:color="auto"/>
        <w:left w:val="none" w:sz="0" w:space="0" w:color="auto"/>
        <w:bottom w:val="none" w:sz="0" w:space="0" w:color="auto"/>
        <w:right w:val="none" w:sz="0" w:space="0" w:color="auto"/>
      </w:divBdr>
    </w:div>
    <w:div w:id="991448798">
      <w:bodyDiv w:val="1"/>
      <w:marLeft w:val="0"/>
      <w:marRight w:val="0"/>
      <w:marTop w:val="0"/>
      <w:marBottom w:val="0"/>
      <w:divBdr>
        <w:top w:val="none" w:sz="0" w:space="0" w:color="auto"/>
        <w:left w:val="none" w:sz="0" w:space="0" w:color="auto"/>
        <w:bottom w:val="none" w:sz="0" w:space="0" w:color="auto"/>
        <w:right w:val="none" w:sz="0" w:space="0" w:color="auto"/>
      </w:divBdr>
    </w:div>
    <w:div w:id="993605632">
      <w:bodyDiv w:val="1"/>
      <w:marLeft w:val="0"/>
      <w:marRight w:val="0"/>
      <w:marTop w:val="0"/>
      <w:marBottom w:val="0"/>
      <w:divBdr>
        <w:top w:val="none" w:sz="0" w:space="0" w:color="auto"/>
        <w:left w:val="none" w:sz="0" w:space="0" w:color="auto"/>
        <w:bottom w:val="none" w:sz="0" w:space="0" w:color="auto"/>
        <w:right w:val="none" w:sz="0" w:space="0" w:color="auto"/>
      </w:divBdr>
    </w:div>
    <w:div w:id="1037042936">
      <w:bodyDiv w:val="1"/>
      <w:marLeft w:val="0"/>
      <w:marRight w:val="0"/>
      <w:marTop w:val="0"/>
      <w:marBottom w:val="0"/>
      <w:divBdr>
        <w:top w:val="none" w:sz="0" w:space="0" w:color="auto"/>
        <w:left w:val="none" w:sz="0" w:space="0" w:color="auto"/>
        <w:bottom w:val="none" w:sz="0" w:space="0" w:color="auto"/>
        <w:right w:val="none" w:sz="0" w:space="0" w:color="auto"/>
      </w:divBdr>
    </w:div>
    <w:div w:id="1070228205">
      <w:bodyDiv w:val="1"/>
      <w:marLeft w:val="0"/>
      <w:marRight w:val="0"/>
      <w:marTop w:val="0"/>
      <w:marBottom w:val="0"/>
      <w:divBdr>
        <w:top w:val="none" w:sz="0" w:space="0" w:color="auto"/>
        <w:left w:val="none" w:sz="0" w:space="0" w:color="auto"/>
        <w:bottom w:val="none" w:sz="0" w:space="0" w:color="auto"/>
        <w:right w:val="none" w:sz="0" w:space="0" w:color="auto"/>
      </w:divBdr>
    </w:div>
    <w:div w:id="1075470906">
      <w:bodyDiv w:val="1"/>
      <w:marLeft w:val="0"/>
      <w:marRight w:val="0"/>
      <w:marTop w:val="0"/>
      <w:marBottom w:val="0"/>
      <w:divBdr>
        <w:top w:val="none" w:sz="0" w:space="0" w:color="auto"/>
        <w:left w:val="none" w:sz="0" w:space="0" w:color="auto"/>
        <w:bottom w:val="none" w:sz="0" w:space="0" w:color="auto"/>
        <w:right w:val="none" w:sz="0" w:space="0" w:color="auto"/>
      </w:divBdr>
    </w:div>
    <w:div w:id="1102993050">
      <w:bodyDiv w:val="1"/>
      <w:marLeft w:val="0"/>
      <w:marRight w:val="0"/>
      <w:marTop w:val="0"/>
      <w:marBottom w:val="0"/>
      <w:divBdr>
        <w:top w:val="none" w:sz="0" w:space="0" w:color="auto"/>
        <w:left w:val="none" w:sz="0" w:space="0" w:color="auto"/>
        <w:bottom w:val="none" w:sz="0" w:space="0" w:color="auto"/>
        <w:right w:val="none" w:sz="0" w:space="0" w:color="auto"/>
      </w:divBdr>
    </w:div>
    <w:div w:id="1115364867">
      <w:bodyDiv w:val="1"/>
      <w:marLeft w:val="0"/>
      <w:marRight w:val="0"/>
      <w:marTop w:val="0"/>
      <w:marBottom w:val="0"/>
      <w:divBdr>
        <w:top w:val="none" w:sz="0" w:space="0" w:color="auto"/>
        <w:left w:val="none" w:sz="0" w:space="0" w:color="auto"/>
        <w:bottom w:val="none" w:sz="0" w:space="0" w:color="auto"/>
        <w:right w:val="none" w:sz="0" w:space="0" w:color="auto"/>
      </w:divBdr>
    </w:div>
    <w:div w:id="1144661588">
      <w:bodyDiv w:val="1"/>
      <w:marLeft w:val="0"/>
      <w:marRight w:val="0"/>
      <w:marTop w:val="0"/>
      <w:marBottom w:val="0"/>
      <w:divBdr>
        <w:top w:val="none" w:sz="0" w:space="0" w:color="auto"/>
        <w:left w:val="none" w:sz="0" w:space="0" w:color="auto"/>
        <w:bottom w:val="none" w:sz="0" w:space="0" w:color="auto"/>
        <w:right w:val="none" w:sz="0" w:space="0" w:color="auto"/>
      </w:divBdr>
    </w:div>
    <w:div w:id="1149590488">
      <w:bodyDiv w:val="1"/>
      <w:marLeft w:val="0"/>
      <w:marRight w:val="0"/>
      <w:marTop w:val="0"/>
      <w:marBottom w:val="0"/>
      <w:divBdr>
        <w:top w:val="none" w:sz="0" w:space="0" w:color="auto"/>
        <w:left w:val="none" w:sz="0" w:space="0" w:color="auto"/>
        <w:bottom w:val="none" w:sz="0" w:space="0" w:color="auto"/>
        <w:right w:val="none" w:sz="0" w:space="0" w:color="auto"/>
      </w:divBdr>
    </w:div>
    <w:div w:id="1161577905">
      <w:bodyDiv w:val="1"/>
      <w:marLeft w:val="0"/>
      <w:marRight w:val="0"/>
      <w:marTop w:val="0"/>
      <w:marBottom w:val="0"/>
      <w:divBdr>
        <w:top w:val="none" w:sz="0" w:space="0" w:color="auto"/>
        <w:left w:val="none" w:sz="0" w:space="0" w:color="auto"/>
        <w:bottom w:val="none" w:sz="0" w:space="0" w:color="auto"/>
        <w:right w:val="none" w:sz="0" w:space="0" w:color="auto"/>
      </w:divBdr>
    </w:div>
    <w:div w:id="1216742003">
      <w:bodyDiv w:val="1"/>
      <w:marLeft w:val="0"/>
      <w:marRight w:val="0"/>
      <w:marTop w:val="0"/>
      <w:marBottom w:val="0"/>
      <w:divBdr>
        <w:top w:val="none" w:sz="0" w:space="0" w:color="auto"/>
        <w:left w:val="none" w:sz="0" w:space="0" w:color="auto"/>
        <w:bottom w:val="none" w:sz="0" w:space="0" w:color="auto"/>
        <w:right w:val="none" w:sz="0" w:space="0" w:color="auto"/>
      </w:divBdr>
    </w:div>
    <w:div w:id="1308701346">
      <w:bodyDiv w:val="1"/>
      <w:marLeft w:val="0"/>
      <w:marRight w:val="0"/>
      <w:marTop w:val="0"/>
      <w:marBottom w:val="0"/>
      <w:divBdr>
        <w:top w:val="none" w:sz="0" w:space="0" w:color="auto"/>
        <w:left w:val="none" w:sz="0" w:space="0" w:color="auto"/>
        <w:bottom w:val="none" w:sz="0" w:space="0" w:color="auto"/>
        <w:right w:val="none" w:sz="0" w:space="0" w:color="auto"/>
      </w:divBdr>
    </w:div>
    <w:div w:id="1326519062">
      <w:bodyDiv w:val="1"/>
      <w:marLeft w:val="0"/>
      <w:marRight w:val="0"/>
      <w:marTop w:val="0"/>
      <w:marBottom w:val="0"/>
      <w:divBdr>
        <w:top w:val="none" w:sz="0" w:space="0" w:color="auto"/>
        <w:left w:val="none" w:sz="0" w:space="0" w:color="auto"/>
        <w:bottom w:val="none" w:sz="0" w:space="0" w:color="auto"/>
        <w:right w:val="none" w:sz="0" w:space="0" w:color="auto"/>
      </w:divBdr>
    </w:div>
    <w:div w:id="1403141081">
      <w:bodyDiv w:val="1"/>
      <w:marLeft w:val="0"/>
      <w:marRight w:val="0"/>
      <w:marTop w:val="0"/>
      <w:marBottom w:val="0"/>
      <w:divBdr>
        <w:top w:val="none" w:sz="0" w:space="0" w:color="auto"/>
        <w:left w:val="none" w:sz="0" w:space="0" w:color="auto"/>
        <w:bottom w:val="none" w:sz="0" w:space="0" w:color="auto"/>
        <w:right w:val="none" w:sz="0" w:space="0" w:color="auto"/>
      </w:divBdr>
    </w:div>
    <w:div w:id="1462919374">
      <w:bodyDiv w:val="1"/>
      <w:marLeft w:val="0"/>
      <w:marRight w:val="0"/>
      <w:marTop w:val="0"/>
      <w:marBottom w:val="0"/>
      <w:divBdr>
        <w:top w:val="none" w:sz="0" w:space="0" w:color="auto"/>
        <w:left w:val="none" w:sz="0" w:space="0" w:color="auto"/>
        <w:bottom w:val="none" w:sz="0" w:space="0" w:color="auto"/>
        <w:right w:val="none" w:sz="0" w:space="0" w:color="auto"/>
      </w:divBdr>
    </w:div>
    <w:div w:id="1500846956">
      <w:bodyDiv w:val="1"/>
      <w:marLeft w:val="0"/>
      <w:marRight w:val="0"/>
      <w:marTop w:val="0"/>
      <w:marBottom w:val="0"/>
      <w:divBdr>
        <w:top w:val="none" w:sz="0" w:space="0" w:color="auto"/>
        <w:left w:val="none" w:sz="0" w:space="0" w:color="auto"/>
        <w:bottom w:val="none" w:sz="0" w:space="0" w:color="auto"/>
        <w:right w:val="none" w:sz="0" w:space="0" w:color="auto"/>
      </w:divBdr>
    </w:div>
    <w:div w:id="1529487503">
      <w:bodyDiv w:val="1"/>
      <w:marLeft w:val="0"/>
      <w:marRight w:val="0"/>
      <w:marTop w:val="0"/>
      <w:marBottom w:val="0"/>
      <w:divBdr>
        <w:top w:val="none" w:sz="0" w:space="0" w:color="auto"/>
        <w:left w:val="none" w:sz="0" w:space="0" w:color="auto"/>
        <w:bottom w:val="none" w:sz="0" w:space="0" w:color="auto"/>
        <w:right w:val="none" w:sz="0" w:space="0" w:color="auto"/>
      </w:divBdr>
    </w:div>
    <w:div w:id="1529683030">
      <w:bodyDiv w:val="1"/>
      <w:marLeft w:val="0"/>
      <w:marRight w:val="0"/>
      <w:marTop w:val="0"/>
      <w:marBottom w:val="0"/>
      <w:divBdr>
        <w:top w:val="none" w:sz="0" w:space="0" w:color="auto"/>
        <w:left w:val="none" w:sz="0" w:space="0" w:color="auto"/>
        <w:bottom w:val="none" w:sz="0" w:space="0" w:color="auto"/>
        <w:right w:val="none" w:sz="0" w:space="0" w:color="auto"/>
      </w:divBdr>
    </w:div>
    <w:div w:id="1578904074">
      <w:bodyDiv w:val="1"/>
      <w:marLeft w:val="0"/>
      <w:marRight w:val="0"/>
      <w:marTop w:val="0"/>
      <w:marBottom w:val="0"/>
      <w:divBdr>
        <w:top w:val="none" w:sz="0" w:space="0" w:color="auto"/>
        <w:left w:val="none" w:sz="0" w:space="0" w:color="auto"/>
        <w:bottom w:val="none" w:sz="0" w:space="0" w:color="auto"/>
        <w:right w:val="none" w:sz="0" w:space="0" w:color="auto"/>
      </w:divBdr>
    </w:div>
    <w:div w:id="1595019815">
      <w:bodyDiv w:val="1"/>
      <w:marLeft w:val="0"/>
      <w:marRight w:val="0"/>
      <w:marTop w:val="0"/>
      <w:marBottom w:val="0"/>
      <w:divBdr>
        <w:top w:val="none" w:sz="0" w:space="0" w:color="auto"/>
        <w:left w:val="none" w:sz="0" w:space="0" w:color="auto"/>
        <w:bottom w:val="none" w:sz="0" w:space="0" w:color="auto"/>
        <w:right w:val="none" w:sz="0" w:space="0" w:color="auto"/>
      </w:divBdr>
    </w:div>
    <w:div w:id="1644656567">
      <w:bodyDiv w:val="1"/>
      <w:marLeft w:val="0"/>
      <w:marRight w:val="0"/>
      <w:marTop w:val="0"/>
      <w:marBottom w:val="0"/>
      <w:divBdr>
        <w:top w:val="none" w:sz="0" w:space="0" w:color="auto"/>
        <w:left w:val="none" w:sz="0" w:space="0" w:color="auto"/>
        <w:bottom w:val="none" w:sz="0" w:space="0" w:color="auto"/>
        <w:right w:val="none" w:sz="0" w:space="0" w:color="auto"/>
      </w:divBdr>
    </w:div>
    <w:div w:id="1724908557">
      <w:bodyDiv w:val="1"/>
      <w:marLeft w:val="0"/>
      <w:marRight w:val="0"/>
      <w:marTop w:val="0"/>
      <w:marBottom w:val="0"/>
      <w:divBdr>
        <w:top w:val="none" w:sz="0" w:space="0" w:color="auto"/>
        <w:left w:val="none" w:sz="0" w:space="0" w:color="auto"/>
        <w:bottom w:val="none" w:sz="0" w:space="0" w:color="auto"/>
        <w:right w:val="none" w:sz="0" w:space="0" w:color="auto"/>
      </w:divBdr>
    </w:div>
    <w:div w:id="1751541301">
      <w:bodyDiv w:val="1"/>
      <w:marLeft w:val="0"/>
      <w:marRight w:val="0"/>
      <w:marTop w:val="0"/>
      <w:marBottom w:val="0"/>
      <w:divBdr>
        <w:top w:val="none" w:sz="0" w:space="0" w:color="auto"/>
        <w:left w:val="none" w:sz="0" w:space="0" w:color="auto"/>
        <w:bottom w:val="none" w:sz="0" w:space="0" w:color="auto"/>
        <w:right w:val="none" w:sz="0" w:space="0" w:color="auto"/>
      </w:divBdr>
    </w:div>
    <w:div w:id="1756972224">
      <w:bodyDiv w:val="1"/>
      <w:marLeft w:val="0"/>
      <w:marRight w:val="0"/>
      <w:marTop w:val="0"/>
      <w:marBottom w:val="0"/>
      <w:divBdr>
        <w:top w:val="none" w:sz="0" w:space="0" w:color="auto"/>
        <w:left w:val="none" w:sz="0" w:space="0" w:color="auto"/>
        <w:bottom w:val="none" w:sz="0" w:space="0" w:color="auto"/>
        <w:right w:val="none" w:sz="0" w:space="0" w:color="auto"/>
      </w:divBdr>
    </w:div>
    <w:div w:id="1767143726">
      <w:bodyDiv w:val="1"/>
      <w:marLeft w:val="0"/>
      <w:marRight w:val="0"/>
      <w:marTop w:val="0"/>
      <w:marBottom w:val="0"/>
      <w:divBdr>
        <w:top w:val="none" w:sz="0" w:space="0" w:color="auto"/>
        <w:left w:val="none" w:sz="0" w:space="0" w:color="auto"/>
        <w:bottom w:val="none" w:sz="0" w:space="0" w:color="auto"/>
        <w:right w:val="none" w:sz="0" w:space="0" w:color="auto"/>
      </w:divBdr>
    </w:div>
    <w:div w:id="1784349479">
      <w:bodyDiv w:val="1"/>
      <w:marLeft w:val="0"/>
      <w:marRight w:val="0"/>
      <w:marTop w:val="0"/>
      <w:marBottom w:val="0"/>
      <w:divBdr>
        <w:top w:val="none" w:sz="0" w:space="0" w:color="auto"/>
        <w:left w:val="none" w:sz="0" w:space="0" w:color="auto"/>
        <w:bottom w:val="none" w:sz="0" w:space="0" w:color="auto"/>
        <w:right w:val="none" w:sz="0" w:space="0" w:color="auto"/>
      </w:divBdr>
    </w:div>
    <w:div w:id="1830752183">
      <w:bodyDiv w:val="1"/>
      <w:marLeft w:val="0"/>
      <w:marRight w:val="0"/>
      <w:marTop w:val="0"/>
      <w:marBottom w:val="0"/>
      <w:divBdr>
        <w:top w:val="none" w:sz="0" w:space="0" w:color="auto"/>
        <w:left w:val="none" w:sz="0" w:space="0" w:color="auto"/>
        <w:bottom w:val="none" w:sz="0" w:space="0" w:color="auto"/>
        <w:right w:val="none" w:sz="0" w:space="0" w:color="auto"/>
      </w:divBdr>
    </w:div>
    <w:div w:id="1857502120">
      <w:bodyDiv w:val="1"/>
      <w:marLeft w:val="0"/>
      <w:marRight w:val="0"/>
      <w:marTop w:val="0"/>
      <w:marBottom w:val="0"/>
      <w:divBdr>
        <w:top w:val="none" w:sz="0" w:space="0" w:color="auto"/>
        <w:left w:val="none" w:sz="0" w:space="0" w:color="auto"/>
        <w:bottom w:val="none" w:sz="0" w:space="0" w:color="auto"/>
        <w:right w:val="none" w:sz="0" w:space="0" w:color="auto"/>
      </w:divBdr>
    </w:div>
    <w:div w:id="1903521483">
      <w:bodyDiv w:val="1"/>
      <w:marLeft w:val="0"/>
      <w:marRight w:val="0"/>
      <w:marTop w:val="0"/>
      <w:marBottom w:val="0"/>
      <w:divBdr>
        <w:top w:val="none" w:sz="0" w:space="0" w:color="auto"/>
        <w:left w:val="none" w:sz="0" w:space="0" w:color="auto"/>
        <w:bottom w:val="none" w:sz="0" w:space="0" w:color="auto"/>
        <w:right w:val="none" w:sz="0" w:space="0" w:color="auto"/>
      </w:divBdr>
    </w:div>
    <w:div w:id="1925871908">
      <w:bodyDiv w:val="1"/>
      <w:marLeft w:val="0"/>
      <w:marRight w:val="0"/>
      <w:marTop w:val="0"/>
      <w:marBottom w:val="0"/>
      <w:divBdr>
        <w:top w:val="none" w:sz="0" w:space="0" w:color="auto"/>
        <w:left w:val="none" w:sz="0" w:space="0" w:color="auto"/>
        <w:bottom w:val="none" w:sz="0" w:space="0" w:color="auto"/>
        <w:right w:val="none" w:sz="0" w:space="0" w:color="auto"/>
      </w:divBdr>
    </w:div>
    <w:div w:id="1935093930">
      <w:bodyDiv w:val="1"/>
      <w:marLeft w:val="0"/>
      <w:marRight w:val="0"/>
      <w:marTop w:val="0"/>
      <w:marBottom w:val="0"/>
      <w:divBdr>
        <w:top w:val="none" w:sz="0" w:space="0" w:color="auto"/>
        <w:left w:val="none" w:sz="0" w:space="0" w:color="auto"/>
        <w:bottom w:val="none" w:sz="0" w:space="0" w:color="auto"/>
        <w:right w:val="none" w:sz="0" w:space="0" w:color="auto"/>
      </w:divBdr>
    </w:div>
    <w:div w:id="1941259029">
      <w:bodyDiv w:val="1"/>
      <w:marLeft w:val="0"/>
      <w:marRight w:val="0"/>
      <w:marTop w:val="0"/>
      <w:marBottom w:val="0"/>
      <w:divBdr>
        <w:top w:val="none" w:sz="0" w:space="0" w:color="auto"/>
        <w:left w:val="none" w:sz="0" w:space="0" w:color="auto"/>
        <w:bottom w:val="none" w:sz="0" w:space="0" w:color="auto"/>
        <w:right w:val="none" w:sz="0" w:space="0" w:color="auto"/>
      </w:divBdr>
    </w:div>
    <w:div w:id="1947883721">
      <w:bodyDiv w:val="1"/>
      <w:marLeft w:val="0"/>
      <w:marRight w:val="0"/>
      <w:marTop w:val="0"/>
      <w:marBottom w:val="0"/>
      <w:divBdr>
        <w:top w:val="none" w:sz="0" w:space="0" w:color="auto"/>
        <w:left w:val="none" w:sz="0" w:space="0" w:color="auto"/>
        <w:bottom w:val="none" w:sz="0" w:space="0" w:color="auto"/>
        <w:right w:val="none" w:sz="0" w:space="0" w:color="auto"/>
      </w:divBdr>
    </w:div>
    <w:div w:id="2072386972">
      <w:bodyDiv w:val="1"/>
      <w:marLeft w:val="0"/>
      <w:marRight w:val="0"/>
      <w:marTop w:val="0"/>
      <w:marBottom w:val="0"/>
      <w:divBdr>
        <w:top w:val="none" w:sz="0" w:space="0" w:color="auto"/>
        <w:left w:val="none" w:sz="0" w:space="0" w:color="auto"/>
        <w:bottom w:val="none" w:sz="0" w:space="0" w:color="auto"/>
        <w:right w:val="none" w:sz="0" w:space="0" w:color="auto"/>
      </w:divBdr>
    </w:div>
    <w:div w:id="2081126139">
      <w:bodyDiv w:val="1"/>
      <w:marLeft w:val="0"/>
      <w:marRight w:val="0"/>
      <w:marTop w:val="0"/>
      <w:marBottom w:val="0"/>
      <w:divBdr>
        <w:top w:val="none" w:sz="0" w:space="0" w:color="auto"/>
        <w:left w:val="none" w:sz="0" w:space="0" w:color="auto"/>
        <w:bottom w:val="none" w:sz="0" w:space="0" w:color="auto"/>
        <w:right w:val="none" w:sz="0" w:space="0" w:color="auto"/>
      </w:divBdr>
    </w:div>
    <w:div w:id="2129808927">
      <w:bodyDiv w:val="1"/>
      <w:marLeft w:val="0"/>
      <w:marRight w:val="0"/>
      <w:marTop w:val="0"/>
      <w:marBottom w:val="0"/>
      <w:divBdr>
        <w:top w:val="none" w:sz="0" w:space="0" w:color="auto"/>
        <w:left w:val="none" w:sz="0" w:space="0" w:color="auto"/>
        <w:bottom w:val="none" w:sz="0" w:space="0" w:color="auto"/>
        <w:right w:val="none" w:sz="0" w:space="0" w:color="auto"/>
      </w:divBdr>
    </w:div>
    <w:div w:id="2139252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7" Type="http://schemas.openxmlformats.org/officeDocument/2006/relationships/image" Target="media/image2.jpeg"/><Relationship Id="rId71" Type="http://schemas.openxmlformats.org/officeDocument/2006/relationships/image" Target="media/image66.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E5F246-DAF7-4C52-9DEE-2701B2FD39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76</Pages>
  <Words>4842</Words>
  <Characters>27602</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Peggy Le</dc:creator>
  <cp:keywords/>
  <dc:description/>
  <cp:lastModifiedBy>Catherine Jan</cp:lastModifiedBy>
  <cp:revision>2</cp:revision>
  <dcterms:created xsi:type="dcterms:W3CDTF">2019-12-24T15:34:00Z</dcterms:created>
  <dcterms:modified xsi:type="dcterms:W3CDTF">2019-12-24T15:34:00Z</dcterms:modified>
</cp:coreProperties>
</file>